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0A9AD" w14:textId="2F09003D" w:rsidR="00B71060" w:rsidRPr="00CD024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77A4B76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9AD99D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3F40B94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46CD60E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E5C8DC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FB8226D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60D713C" w14:textId="061AD24F" w:rsidR="00C7314B" w:rsidRPr="007747A6" w:rsidRDefault="00F54979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 w:rsidRPr="00327BE1">
        <w:rPr>
          <w:rFonts w:ascii="Times New Roman" w:hAnsi="Times New Roman"/>
          <w:b/>
          <w:bCs/>
          <w:sz w:val="24"/>
        </w:rPr>
        <w:t>Problem Solving Skills</w:t>
      </w:r>
    </w:p>
    <w:bookmarkEnd w:id="0"/>
    <w:p w14:paraId="0CBDE923" w14:textId="77777777" w:rsidR="00B71060" w:rsidRPr="001D149A" w:rsidRDefault="00F54979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Student's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14:paraId="6CA58B20" w14:textId="412D68F8" w:rsidR="00B71060" w:rsidRDefault="00F54979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14:paraId="0620D8AD" w14:textId="1756FA8D" w:rsidR="00B81460" w:rsidRPr="001D149A" w:rsidRDefault="00F54979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14:paraId="54F279EC" w14:textId="77777777" w:rsidR="00A1307E" w:rsidRDefault="00A1307E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34B52C4B" w14:textId="0FFC165C" w:rsidR="00327BE1" w:rsidRPr="007747A6" w:rsidRDefault="00F54979" w:rsidP="00327BE1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327BE1">
        <w:rPr>
          <w:rFonts w:ascii="Times New Roman" w:hAnsi="Times New Roman"/>
          <w:b/>
          <w:bCs/>
          <w:sz w:val="24"/>
        </w:rPr>
        <w:lastRenderedPageBreak/>
        <w:t>Problem Solving Skills</w:t>
      </w:r>
    </w:p>
    <w:p w14:paraId="7C024EF5" w14:textId="757B5509" w:rsidR="00FA5063" w:rsidRDefault="00F54979" w:rsidP="00DC6775">
      <w:pPr>
        <w:spacing w:after="0" w:line="48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 xml:space="preserve">Problem </w:t>
      </w:r>
      <w:r w:rsidR="00DC6775" w:rsidRPr="00FA5063">
        <w:rPr>
          <w:rFonts w:ascii="Times New Roman" w:eastAsia="Times New Roman" w:hAnsi="Times New Roman"/>
          <w:b/>
          <w:bCs/>
          <w:sz w:val="24"/>
          <w:szCs w:val="24"/>
        </w:rPr>
        <w:t>Defini</w:t>
      </w:r>
      <w:r w:rsidR="00DC6775">
        <w:rPr>
          <w:rFonts w:ascii="Times New Roman" w:eastAsia="Times New Roman" w:hAnsi="Times New Roman"/>
          <w:b/>
          <w:bCs/>
          <w:sz w:val="24"/>
          <w:szCs w:val="24"/>
        </w:rPr>
        <w:t>tion</w:t>
      </w:r>
    </w:p>
    <w:p w14:paraId="1E3EFD75" w14:textId="44303F6E" w:rsidR="006D0A3A" w:rsidRDefault="00F54979" w:rsidP="00FA5063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In the contemporary business environment, </w:t>
      </w:r>
      <w:r w:rsidR="007D7C08">
        <w:rPr>
          <w:rFonts w:ascii="Times New Roman" w:eastAsia="Times New Roman" w:hAnsi="Times New Roman"/>
          <w:sz w:val="24"/>
          <w:szCs w:val="24"/>
        </w:rPr>
        <w:t xml:space="preserve">the relationship between </w:t>
      </w:r>
      <w:r w:rsidR="0089210D">
        <w:rPr>
          <w:rFonts w:ascii="Times New Roman" w:eastAsia="Times New Roman" w:hAnsi="Times New Roman"/>
          <w:sz w:val="24"/>
          <w:szCs w:val="24"/>
        </w:rPr>
        <w:t xml:space="preserve">individual parties is usually guided by </w:t>
      </w:r>
      <w:r w:rsidR="00801C94">
        <w:rPr>
          <w:rFonts w:ascii="Times New Roman" w:eastAsia="Times New Roman" w:hAnsi="Times New Roman"/>
          <w:sz w:val="24"/>
          <w:szCs w:val="24"/>
        </w:rPr>
        <w:t xml:space="preserve">contractual agreements stipulated </w:t>
      </w:r>
      <w:r w:rsidR="004A088C">
        <w:rPr>
          <w:rFonts w:ascii="Times New Roman" w:eastAsia="Times New Roman" w:hAnsi="Times New Roman"/>
          <w:sz w:val="24"/>
          <w:szCs w:val="24"/>
        </w:rPr>
        <w:t xml:space="preserve">in contract law, </w:t>
      </w:r>
      <w:r w:rsidR="007206B5">
        <w:rPr>
          <w:rFonts w:ascii="Times New Roman" w:eastAsia="Times New Roman" w:hAnsi="Times New Roman"/>
          <w:sz w:val="24"/>
          <w:szCs w:val="24"/>
        </w:rPr>
        <w:t>ensuring minimal disputes</w:t>
      </w:r>
      <w:r w:rsidR="00C56FFE">
        <w:rPr>
          <w:rFonts w:ascii="Times New Roman" w:eastAsia="Times New Roman" w:hAnsi="Times New Roman"/>
          <w:sz w:val="24"/>
          <w:szCs w:val="24"/>
        </w:rPr>
        <w:t xml:space="preserve"> develop between the parties involved. </w:t>
      </w:r>
      <w:r w:rsidR="00BE3267">
        <w:rPr>
          <w:rFonts w:ascii="Times New Roman" w:eastAsia="Times New Roman" w:hAnsi="Times New Roman"/>
          <w:sz w:val="24"/>
          <w:szCs w:val="24"/>
        </w:rPr>
        <w:t xml:space="preserve">Currently, the tenant-landlord relationship often falls under contractual agreements, guided by the </w:t>
      </w:r>
      <w:r w:rsidR="00307FCE">
        <w:rPr>
          <w:rFonts w:ascii="Times New Roman" w:eastAsia="Times New Roman" w:hAnsi="Times New Roman"/>
          <w:sz w:val="24"/>
          <w:szCs w:val="24"/>
        </w:rPr>
        <w:t>l</w:t>
      </w:r>
      <w:r w:rsidR="00BE3267" w:rsidRPr="00BE3267">
        <w:rPr>
          <w:rFonts w:ascii="Times New Roman" w:eastAsia="Times New Roman" w:hAnsi="Times New Roman"/>
          <w:sz w:val="24"/>
          <w:szCs w:val="24"/>
        </w:rPr>
        <w:t>andlord-tenant law</w:t>
      </w:r>
      <w:r w:rsidR="00BE3267">
        <w:rPr>
          <w:rFonts w:ascii="Times New Roman" w:eastAsia="Times New Roman" w:hAnsi="Times New Roman"/>
          <w:sz w:val="24"/>
          <w:szCs w:val="24"/>
        </w:rPr>
        <w:t xml:space="preserve">, </w:t>
      </w:r>
      <w:r w:rsidR="00AD13AB">
        <w:rPr>
          <w:rFonts w:ascii="Times New Roman" w:eastAsia="Times New Roman" w:hAnsi="Times New Roman"/>
          <w:sz w:val="24"/>
          <w:szCs w:val="24"/>
        </w:rPr>
        <w:t>originating from state statutes and common law</w:t>
      </w:r>
      <w:r w:rsidR="00187C15">
        <w:rPr>
          <w:rFonts w:ascii="Times New Roman" w:eastAsia="Times New Roman" w:hAnsi="Times New Roman"/>
          <w:sz w:val="24"/>
          <w:szCs w:val="24"/>
        </w:rPr>
        <w:t xml:space="preserve"> (</w:t>
      </w:r>
      <w:r w:rsidR="00187C15" w:rsidRPr="008E590C">
        <w:rPr>
          <w:rFonts w:ascii="Times New Roman" w:eastAsia="Times New Roman" w:hAnsi="Times New Roman"/>
          <w:sz w:val="24"/>
          <w:szCs w:val="24"/>
        </w:rPr>
        <w:t>Bradley-Banta</w:t>
      </w:r>
      <w:r w:rsidR="00187C15">
        <w:rPr>
          <w:rFonts w:ascii="Times New Roman" w:eastAsia="Times New Roman" w:hAnsi="Times New Roman"/>
          <w:sz w:val="24"/>
          <w:szCs w:val="24"/>
        </w:rPr>
        <w:t>, 2019)</w:t>
      </w:r>
      <w:r w:rsidR="00AD13AB">
        <w:rPr>
          <w:rFonts w:ascii="Times New Roman" w:eastAsia="Times New Roman" w:hAnsi="Times New Roman"/>
          <w:sz w:val="24"/>
          <w:szCs w:val="24"/>
        </w:rPr>
        <w:t xml:space="preserve">. </w:t>
      </w:r>
      <w:r w:rsidR="00EC1369">
        <w:rPr>
          <w:rFonts w:ascii="Times New Roman" w:eastAsia="Times New Roman" w:hAnsi="Times New Roman"/>
          <w:sz w:val="24"/>
          <w:szCs w:val="24"/>
        </w:rPr>
        <w:t xml:space="preserve">As the contractual relationship between a landlord and the tenant officially begins with the signing of the lease agreement, </w:t>
      </w:r>
      <w:r w:rsidR="00FB4B1E">
        <w:rPr>
          <w:rFonts w:ascii="Times New Roman" w:eastAsia="Times New Roman" w:hAnsi="Times New Roman"/>
          <w:sz w:val="24"/>
          <w:szCs w:val="24"/>
        </w:rPr>
        <w:t xml:space="preserve">each party has a set of roles and responsibilities required to meet </w:t>
      </w:r>
      <w:r w:rsidR="006E2860">
        <w:rPr>
          <w:rFonts w:ascii="Times New Roman" w:eastAsia="Times New Roman" w:hAnsi="Times New Roman"/>
          <w:sz w:val="24"/>
          <w:szCs w:val="24"/>
        </w:rPr>
        <w:t xml:space="preserve">to uphold the </w:t>
      </w:r>
      <w:r w:rsidR="00F15C53">
        <w:rPr>
          <w:rFonts w:ascii="Times New Roman" w:eastAsia="Times New Roman" w:hAnsi="Times New Roman"/>
          <w:sz w:val="24"/>
          <w:szCs w:val="24"/>
        </w:rPr>
        <w:t xml:space="preserve">contractual requirements. </w:t>
      </w:r>
      <w:r w:rsidR="009F47F6">
        <w:rPr>
          <w:rFonts w:ascii="Times New Roman" w:eastAsia="Times New Roman" w:hAnsi="Times New Roman"/>
          <w:sz w:val="24"/>
          <w:szCs w:val="24"/>
        </w:rPr>
        <w:t xml:space="preserve">Though </w:t>
      </w:r>
      <w:r w:rsidR="00E936C4">
        <w:rPr>
          <w:rFonts w:ascii="Times New Roman" w:eastAsia="Times New Roman" w:hAnsi="Times New Roman"/>
          <w:sz w:val="24"/>
          <w:szCs w:val="24"/>
        </w:rPr>
        <w:t xml:space="preserve">the terms of the contract vary significantly, </w:t>
      </w:r>
      <w:r w:rsidR="007A2DA3">
        <w:rPr>
          <w:rFonts w:ascii="Times New Roman" w:eastAsia="Times New Roman" w:hAnsi="Times New Roman"/>
          <w:sz w:val="24"/>
          <w:szCs w:val="24"/>
        </w:rPr>
        <w:t xml:space="preserve">landlords' </w:t>
      </w:r>
      <w:r w:rsidR="00D3570E">
        <w:rPr>
          <w:rFonts w:ascii="Times New Roman" w:eastAsia="Times New Roman" w:hAnsi="Times New Roman"/>
          <w:sz w:val="24"/>
          <w:szCs w:val="24"/>
        </w:rPr>
        <w:t>primary</w:t>
      </w:r>
      <w:r w:rsidR="007A2DA3">
        <w:rPr>
          <w:rFonts w:ascii="Times New Roman" w:eastAsia="Times New Roman" w:hAnsi="Times New Roman"/>
          <w:sz w:val="24"/>
          <w:szCs w:val="24"/>
        </w:rPr>
        <w:t xml:space="preserve"> </w:t>
      </w:r>
      <w:r w:rsidR="00000378">
        <w:rPr>
          <w:rFonts w:ascii="Times New Roman" w:eastAsia="Times New Roman" w:hAnsi="Times New Roman"/>
          <w:sz w:val="24"/>
          <w:szCs w:val="24"/>
        </w:rPr>
        <w:t xml:space="preserve">responsibility is to maintain the property in a habitable condition by conducting repair and maintenance </w:t>
      </w:r>
      <w:r w:rsidR="00882748">
        <w:rPr>
          <w:rFonts w:ascii="Times New Roman" w:eastAsia="Times New Roman" w:hAnsi="Times New Roman"/>
          <w:sz w:val="24"/>
          <w:szCs w:val="24"/>
        </w:rPr>
        <w:t xml:space="preserve">operations as needed. </w:t>
      </w:r>
    </w:p>
    <w:p w14:paraId="09A3010A" w14:textId="3EAB3820" w:rsidR="00462BF0" w:rsidRPr="00FA5063" w:rsidRDefault="00F54979" w:rsidP="00DC6775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Alternatively, the tenants' </w:t>
      </w:r>
      <w:r w:rsidR="00D3570E">
        <w:rPr>
          <w:rFonts w:ascii="Times New Roman" w:eastAsia="Times New Roman" w:hAnsi="Times New Roman"/>
          <w:sz w:val="24"/>
          <w:szCs w:val="24"/>
        </w:rPr>
        <w:t>primary</w:t>
      </w:r>
      <w:r>
        <w:rPr>
          <w:rFonts w:ascii="Times New Roman" w:eastAsia="Times New Roman" w:hAnsi="Times New Roman"/>
          <w:sz w:val="24"/>
          <w:szCs w:val="24"/>
        </w:rPr>
        <w:t xml:space="preserve"> responsibility is to pay rent, </w:t>
      </w:r>
      <w:r w:rsidR="00727C71">
        <w:rPr>
          <w:rFonts w:ascii="Times New Roman" w:eastAsia="Times New Roman" w:hAnsi="Times New Roman"/>
          <w:sz w:val="24"/>
          <w:szCs w:val="24"/>
        </w:rPr>
        <w:t xml:space="preserve">per the rental agreement, </w:t>
      </w:r>
      <w:r w:rsidR="00463D8D">
        <w:rPr>
          <w:rFonts w:ascii="Times New Roman" w:eastAsia="Times New Roman" w:hAnsi="Times New Roman"/>
          <w:sz w:val="24"/>
          <w:szCs w:val="24"/>
        </w:rPr>
        <w:t xml:space="preserve">and taking responsibility </w:t>
      </w:r>
      <w:r w:rsidR="00D3570E">
        <w:rPr>
          <w:rFonts w:ascii="Times New Roman" w:eastAsia="Times New Roman" w:hAnsi="Times New Roman"/>
          <w:sz w:val="24"/>
          <w:szCs w:val="24"/>
        </w:rPr>
        <w:t>for</w:t>
      </w:r>
      <w:r w:rsidR="00463D8D">
        <w:rPr>
          <w:rFonts w:ascii="Times New Roman" w:eastAsia="Times New Roman" w:hAnsi="Times New Roman"/>
          <w:sz w:val="24"/>
          <w:szCs w:val="24"/>
        </w:rPr>
        <w:t xml:space="preserve"> any damages </w:t>
      </w:r>
      <w:r w:rsidR="00813A02">
        <w:rPr>
          <w:rFonts w:ascii="Times New Roman" w:eastAsia="Times New Roman" w:hAnsi="Times New Roman"/>
          <w:sz w:val="24"/>
          <w:szCs w:val="24"/>
        </w:rPr>
        <w:t>directly associated with them, originating from willfulness and negligence</w:t>
      </w:r>
      <w:r w:rsidR="008E590C">
        <w:rPr>
          <w:rFonts w:ascii="Times New Roman" w:eastAsia="Times New Roman" w:hAnsi="Times New Roman"/>
          <w:sz w:val="24"/>
          <w:szCs w:val="24"/>
        </w:rPr>
        <w:t xml:space="preserve"> </w:t>
      </w:r>
      <w:r w:rsidR="00813A02">
        <w:rPr>
          <w:rFonts w:ascii="Times New Roman" w:eastAsia="Times New Roman" w:hAnsi="Times New Roman"/>
          <w:sz w:val="24"/>
          <w:szCs w:val="24"/>
        </w:rPr>
        <w:t>(</w:t>
      </w:r>
      <w:r w:rsidR="008E590C" w:rsidRPr="008E590C">
        <w:rPr>
          <w:rFonts w:ascii="Times New Roman" w:eastAsia="Times New Roman" w:hAnsi="Times New Roman"/>
          <w:sz w:val="24"/>
          <w:szCs w:val="24"/>
        </w:rPr>
        <w:t>Bradley-Banta</w:t>
      </w:r>
      <w:r w:rsidR="008E590C">
        <w:rPr>
          <w:rFonts w:ascii="Times New Roman" w:eastAsia="Times New Roman" w:hAnsi="Times New Roman"/>
          <w:sz w:val="24"/>
          <w:szCs w:val="24"/>
        </w:rPr>
        <w:t>, 2019</w:t>
      </w:r>
      <w:r w:rsidR="00813A02">
        <w:rPr>
          <w:rFonts w:ascii="Times New Roman" w:eastAsia="Times New Roman" w:hAnsi="Times New Roman"/>
          <w:sz w:val="24"/>
          <w:szCs w:val="24"/>
        </w:rPr>
        <w:t xml:space="preserve">). </w:t>
      </w:r>
      <w:r w:rsidR="00187C15">
        <w:rPr>
          <w:rFonts w:ascii="Times New Roman" w:eastAsia="Times New Roman" w:hAnsi="Times New Roman"/>
          <w:sz w:val="24"/>
          <w:szCs w:val="24"/>
        </w:rPr>
        <w:t>Failure to uphold these fundamental responsibilities by either part</w:t>
      </w:r>
      <w:r w:rsidR="007363F1">
        <w:rPr>
          <w:rFonts w:ascii="Times New Roman" w:eastAsia="Times New Roman" w:hAnsi="Times New Roman"/>
          <w:sz w:val="24"/>
          <w:szCs w:val="24"/>
        </w:rPr>
        <w:t>y</w:t>
      </w:r>
      <w:r w:rsidR="00187C15">
        <w:rPr>
          <w:rFonts w:ascii="Times New Roman" w:eastAsia="Times New Roman" w:hAnsi="Times New Roman"/>
          <w:sz w:val="24"/>
          <w:szCs w:val="24"/>
        </w:rPr>
        <w:t xml:space="preserve"> </w:t>
      </w:r>
      <w:r w:rsidR="00D17AF2">
        <w:rPr>
          <w:rFonts w:ascii="Times New Roman" w:eastAsia="Times New Roman" w:hAnsi="Times New Roman"/>
          <w:sz w:val="24"/>
          <w:szCs w:val="24"/>
        </w:rPr>
        <w:t>often results in disputes</w:t>
      </w:r>
      <w:r w:rsidR="009A0B0A">
        <w:rPr>
          <w:rFonts w:ascii="Times New Roman" w:eastAsia="Times New Roman" w:hAnsi="Times New Roman"/>
          <w:sz w:val="24"/>
          <w:szCs w:val="24"/>
        </w:rPr>
        <w:t xml:space="preserve">. </w:t>
      </w:r>
      <w:r w:rsidR="007E5D6F">
        <w:rPr>
          <w:rFonts w:ascii="Times New Roman" w:eastAsia="Times New Roman" w:hAnsi="Times New Roman"/>
          <w:sz w:val="24"/>
          <w:szCs w:val="24"/>
        </w:rPr>
        <w:t xml:space="preserve">Therefore, </w:t>
      </w:r>
      <w:r w:rsidR="00752C0F">
        <w:rPr>
          <w:rFonts w:ascii="Times New Roman" w:eastAsia="Times New Roman" w:hAnsi="Times New Roman"/>
          <w:sz w:val="24"/>
          <w:szCs w:val="24"/>
        </w:rPr>
        <w:t xml:space="preserve">in the case study, </w:t>
      </w:r>
      <w:r w:rsidR="00E3041B">
        <w:rPr>
          <w:rFonts w:ascii="Times New Roman" w:eastAsia="Times New Roman" w:hAnsi="Times New Roman"/>
          <w:sz w:val="24"/>
          <w:szCs w:val="24"/>
        </w:rPr>
        <w:t xml:space="preserve">by failing to pay rent to Amsterdam Associates LLC, the plaintiff, the </w:t>
      </w:r>
      <w:r w:rsidR="00682A3A">
        <w:rPr>
          <w:rFonts w:ascii="Times New Roman" w:eastAsia="Times New Roman" w:hAnsi="Times New Roman"/>
          <w:sz w:val="24"/>
          <w:szCs w:val="24"/>
        </w:rPr>
        <w:t xml:space="preserve">defendant, </w:t>
      </w:r>
      <w:r w:rsidR="00682A3A" w:rsidRPr="00682A3A">
        <w:rPr>
          <w:rFonts w:ascii="Times New Roman" w:eastAsia="Times New Roman" w:hAnsi="Times New Roman"/>
          <w:sz w:val="24"/>
          <w:szCs w:val="24"/>
        </w:rPr>
        <w:t>Alianza Dominicana</w:t>
      </w:r>
      <w:r w:rsidR="00B86D59">
        <w:rPr>
          <w:rFonts w:ascii="Times New Roman" w:eastAsia="Times New Roman" w:hAnsi="Times New Roman"/>
          <w:sz w:val="24"/>
          <w:szCs w:val="24"/>
        </w:rPr>
        <w:t>,</w:t>
      </w:r>
      <w:r w:rsidR="00682A3A" w:rsidRPr="00682A3A">
        <w:rPr>
          <w:rFonts w:ascii="Times New Roman" w:eastAsia="Times New Roman" w:hAnsi="Times New Roman"/>
          <w:sz w:val="24"/>
          <w:szCs w:val="24"/>
        </w:rPr>
        <w:t xml:space="preserve"> and Alianza LLC</w:t>
      </w:r>
      <w:r w:rsidR="00682A3A">
        <w:rPr>
          <w:rFonts w:ascii="Times New Roman" w:eastAsia="Times New Roman" w:hAnsi="Times New Roman"/>
          <w:sz w:val="24"/>
          <w:szCs w:val="24"/>
        </w:rPr>
        <w:t xml:space="preserve">, had violated the terms of </w:t>
      </w:r>
      <w:r w:rsidR="00D3570E">
        <w:rPr>
          <w:rFonts w:ascii="Times New Roman" w:eastAsia="Times New Roman" w:hAnsi="Times New Roman"/>
          <w:sz w:val="24"/>
          <w:szCs w:val="24"/>
        </w:rPr>
        <w:t xml:space="preserve">the </w:t>
      </w:r>
      <w:r w:rsidR="00682A3A">
        <w:rPr>
          <w:rFonts w:ascii="Times New Roman" w:eastAsia="Times New Roman" w:hAnsi="Times New Roman"/>
          <w:sz w:val="24"/>
          <w:szCs w:val="24"/>
        </w:rPr>
        <w:t xml:space="preserve">contract between the two parties, </w:t>
      </w:r>
      <w:r w:rsidR="00255E1B">
        <w:rPr>
          <w:rFonts w:ascii="Times New Roman" w:eastAsia="Times New Roman" w:hAnsi="Times New Roman"/>
          <w:sz w:val="24"/>
          <w:szCs w:val="24"/>
        </w:rPr>
        <w:t xml:space="preserve">resulting in </w:t>
      </w:r>
      <w:r w:rsidR="00D3570E">
        <w:rPr>
          <w:rFonts w:ascii="Times New Roman" w:eastAsia="Times New Roman" w:hAnsi="Times New Roman"/>
          <w:sz w:val="24"/>
          <w:szCs w:val="24"/>
        </w:rPr>
        <w:t xml:space="preserve">the </w:t>
      </w:r>
      <w:r w:rsidR="00255E1B">
        <w:rPr>
          <w:rFonts w:ascii="Times New Roman" w:eastAsia="Times New Roman" w:hAnsi="Times New Roman"/>
          <w:sz w:val="24"/>
          <w:szCs w:val="24"/>
        </w:rPr>
        <w:t xml:space="preserve">development of a dispute and the subsequent court litigation. </w:t>
      </w:r>
      <w:r w:rsidR="00AD3757">
        <w:rPr>
          <w:rFonts w:ascii="Times New Roman" w:eastAsia="Times New Roman" w:hAnsi="Times New Roman"/>
          <w:sz w:val="24"/>
          <w:szCs w:val="24"/>
        </w:rPr>
        <w:t xml:space="preserve">Additionally, to </w:t>
      </w:r>
      <w:r w:rsidR="00510752">
        <w:rPr>
          <w:rFonts w:ascii="Times New Roman" w:eastAsia="Times New Roman" w:hAnsi="Times New Roman"/>
          <w:sz w:val="24"/>
          <w:szCs w:val="24"/>
        </w:rPr>
        <w:t>evade</w:t>
      </w:r>
      <w:r w:rsidR="00707B6C">
        <w:rPr>
          <w:rFonts w:ascii="Times New Roman" w:eastAsia="Times New Roman" w:hAnsi="Times New Roman"/>
          <w:sz w:val="24"/>
          <w:szCs w:val="24"/>
        </w:rPr>
        <w:t xml:space="preserve"> clearing the outstanding </w:t>
      </w:r>
      <w:r w:rsidR="001B13A4">
        <w:rPr>
          <w:rFonts w:ascii="Times New Roman" w:eastAsia="Times New Roman" w:hAnsi="Times New Roman"/>
          <w:sz w:val="24"/>
          <w:szCs w:val="24"/>
        </w:rPr>
        <w:t>rent arrears, the defendant has</w:t>
      </w:r>
      <w:r w:rsidR="00CE7A19">
        <w:rPr>
          <w:rFonts w:ascii="Times New Roman" w:eastAsia="Times New Roman" w:hAnsi="Times New Roman"/>
          <w:sz w:val="24"/>
          <w:szCs w:val="24"/>
        </w:rPr>
        <w:t xml:space="preserve"> </w:t>
      </w:r>
      <w:r w:rsidR="005B3D3B">
        <w:rPr>
          <w:rFonts w:ascii="Times New Roman" w:eastAsia="Times New Roman" w:hAnsi="Times New Roman"/>
          <w:sz w:val="24"/>
          <w:szCs w:val="24"/>
        </w:rPr>
        <w:t>rebrand</w:t>
      </w:r>
      <w:r w:rsidR="00CE7A19">
        <w:rPr>
          <w:rFonts w:ascii="Times New Roman" w:eastAsia="Times New Roman" w:hAnsi="Times New Roman"/>
          <w:sz w:val="24"/>
          <w:szCs w:val="24"/>
        </w:rPr>
        <w:t xml:space="preserve">ed into a limited liability company, </w:t>
      </w:r>
      <w:r w:rsidR="001E0D1A">
        <w:rPr>
          <w:rFonts w:ascii="Times New Roman" w:eastAsia="Times New Roman" w:hAnsi="Times New Roman"/>
          <w:sz w:val="24"/>
          <w:szCs w:val="24"/>
        </w:rPr>
        <w:t xml:space="preserve">meaning the owners' resources and properties cannot be used to </w:t>
      </w:r>
      <w:r w:rsidR="00185586">
        <w:rPr>
          <w:rFonts w:ascii="Times New Roman" w:eastAsia="Times New Roman" w:hAnsi="Times New Roman"/>
          <w:sz w:val="24"/>
          <w:szCs w:val="24"/>
        </w:rPr>
        <w:t xml:space="preserve">pay for the </w:t>
      </w:r>
      <w:r w:rsidR="00D3570E">
        <w:rPr>
          <w:rFonts w:ascii="Times New Roman" w:eastAsia="Times New Roman" w:hAnsi="Times New Roman"/>
          <w:sz w:val="24"/>
          <w:szCs w:val="24"/>
        </w:rPr>
        <w:t>outstanding</w:t>
      </w:r>
      <w:r w:rsidR="00185586">
        <w:rPr>
          <w:rFonts w:ascii="Times New Roman" w:eastAsia="Times New Roman" w:hAnsi="Times New Roman"/>
          <w:sz w:val="24"/>
          <w:szCs w:val="24"/>
        </w:rPr>
        <w:t xml:space="preserve"> balances</w:t>
      </w:r>
      <w:r w:rsidR="00A646E8">
        <w:rPr>
          <w:rFonts w:ascii="Times New Roman" w:eastAsia="Times New Roman" w:hAnsi="Times New Roman"/>
          <w:sz w:val="24"/>
          <w:szCs w:val="24"/>
        </w:rPr>
        <w:t xml:space="preserve"> </w:t>
      </w:r>
      <w:r w:rsidR="00185586">
        <w:rPr>
          <w:rFonts w:ascii="Times New Roman" w:eastAsia="Times New Roman" w:hAnsi="Times New Roman"/>
          <w:sz w:val="24"/>
          <w:szCs w:val="24"/>
        </w:rPr>
        <w:t>(</w:t>
      </w:r>
      <w:r w:rsidR="00A646E8" w:rsidRPr="00A646E8">
        <w:rPr>
          <w:rFonts w:ascii="Times New Roman" w:hAnsi="Times New Roman"/>
          <w:sz w:val="24"/>
          <w:szCs w:val="24"/>
          <w:shd w:val="clear" w:color="auto" w:fill="FFFFFF"/>
        </w:rPr>
        <w:t>Jelsma &amp; Nollkamper,</w:t>
      </w:r>
      <w:r w:rsidR="00A646E8">
        <w:rPr>
          <w:rFonts w:ascii="Times New Roman" w:hAnsi="Times New Roman"/>
          <w:sz w:val="24"/>
          <w:szCs w:val="24"/>
          <w:shd w:val="clear" w:color="auto" w:fill="FFFFFF"/>
        </w:rPr>
        <w:t xml:space="preserve"> 2018</w:t>
      </w:r>
      <w:r w:rsidR="00185586">
        <w:rPr>
          <w:rFonts w:ascii="Times New Roman" w:eastAsia="Times New Roman" w:hAnsi="Times New Roman"/>
          <w:sz w:val="24"/>
          <w:szCs w:val="24"/>
        </w:rPr>
        <w:t xml:space="preserve">). </w:t>
      </w:r>
    </w:p>
    <w:p w14:paraId="21BBF01B" w14:textId="7C69D896" w:rsidR="00FA5063" w:rsidRDefault="00F54979" w:rsidP="0042645C">
      <w:pPr>
        <w:spacing w:after="0" w:line="48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 xml:space="preserve">Developing a Plan </w:t>
      </w:r>
      <w:r w:rsidR="004F010B">
        <w:rPr>
          <w:rFonts w:ascii="Times New Roman" w:eastAsia="Times New Roman" w:hAnsi="Times New Roman"/>
          <w:b/>
          <w:bCs/>
          <w:sz w:val="24"/>
          <w:szCs w:val="24"/>
        </w:rPr>
        <w:t>for</w:t>
      </w: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 xml:space="preserve"> Solv</w:t>
      </w:r>
      <w:r w:rsidR="004F010B">
        <w:rPr>
          <w:rFonts w:ascii="Times New Roman" w:eastAsia="Times New Roman" w:hAnsi="Times New Roman"/>
          <w:b/>
          <w:bCs/>
          <w:sz w:val="24"/>
          <w:szCs w:val="24"/>
        </w:rPr>
        <w:t>ing</w:t>
      </w: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 xml:space="preserve"> the Problem</w:t>
      </w:r>
    </w:p>
    <w:p w14:paraId="7A1183A3" w14:textId="43337242" w:rsidR="00767352" w:rsidRDefault="00F54979" w:rsidP="00767352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Generally, businesses are </w:t>
      </w:r>
      <w:r w:rsidR="0030281B">
        <w:rPr>
          <w:rFonts w:ascii="Times New Roman" w:eastAsia="Times New Roman" w:hAnsi="Times New Roman"/>
          <w:sz w:val="24"/>
          <w:szCs w:val="24"/>
        </w:rPr>
        <w:t xml:space="preserve">liable and responsible for </w:t>
      </w:r>
      <w:r w:rsidR="00D46D60">
        <w:rPr>
          <w:rFonts w:ascii="Times New Roman" w:eastAsia="Times New Roman" w:hAnsi="Times New Roman"/>
          <w:sz w:val="24"/>
          <w:szCs w:val="24"/>
        </w:rPr>
        <w:t>clearing all outstan</w:t>
      </w:r>
      <w:r w:rsidR="00840E91">
        <w:rPr>
          <w:rFonts w:ascii="Times New Roman" w:eastAsia="Times New Roman" w:hAnsi="Times New Roman"/>
          <w:sz w:val="24"/>
          <w:szCs w:val="24"/>
        </w:rPr>
        <w:t>d</w:t>
      </w:r>
      <w:r w:rsidR="00D46D60">
        <w:rPr>
          <w:rFonts w:ascii="Times New Roman" w:eastAsia="Times New Roman" w:hAnsi="Times New Roman"/>
          <w:sz w:val="24"/>
          <w:szCs w:val="24"/>
        </w:rPr>
        <w:t xml:space="preserve">ing balances </w:t>
      </w:r>
      <w:r w:rsidR="00840E91">
        <w:rPr>
          <w:rFonts w:ascii="Times New Roman" w:eastAsia="Times New Roman" w:hAnsi="Times New Roman"/>
          <w:sz w:val="24"/>
          <w:szCs w:val="24"/>
        </w:rPr>
        <w:t xml:space="preserve">with </w:t>
      </w:r>
      <w:r w:rsidR="005C1227">
        <w:rPr>
          <w:rFonts w:ascii="Times New Roman" w:eastAsia="Times New Roman" w:hAnsi="Times New Roman"/>
          <w:sz w:val="24"/>
          <w:szCs w:val="24"/>
        </w:rPr>
        <w:t xml:space="preserve">their various partners and creditors, including </w:t>
      </w:r>
      <w:r w:rsidR="004A6CB0">
        <w:rPr>
          <w:rFonts w:ascii="Times New Roman" w:eastAsia="Times New Roman" w:hAnsi="Times New Roman"/>
          <w:sz w:val="24"/>
          <w:szCs w:val="24"/>
        </w:rPr>
        <w:t xml:space="preserve">the obligation to pay rent. </w:t>
      </w:r>
      <w:r w:rsidR="00C153BE">
        <w:rPr>
          <w:rFonts w:ascii="Times New Roman" w:eastAsia="Times New Roman" w:hAnsi="Times New Roman"/>
          <w:sz w:val="24"/>
          <w:szCs w:val="24"/>
        </w:rPr>
        <w:t xml:space="preserve">Therefore, </w:t>
      </w:r>
      <w:r w:rsidR="0048425B">
        <w:rPr>
          <w:rFonts w:ascii="Times New Roman" w:eastAsia="Times New Roman" w:hAnsi="Times New Roman"/>
          <w:sz w:val="24"/>
          <w:szCs w:val="24"/>
        </w:rPr>
        <w:t xml:space="preserve">the </w:t>
      </w:r>
      <w:r w:rsidR="0043207C">
        <w:rPr>
          <w:rFonts w:ascii="Times New Roman" w:eastAsia="Times New Roman" w:hAnsi="Times New Roman"/>
          <w:sz w:val="24"/>
          <w:szCs w:val="24"/>
        </w:rPr>
        <w:t xml:space="preserve">current stalemate's solution will focus on </w:t>
      </w:r>
      <w:r w:rsidR="002B6006">
        <w:rPr>
          <w:rFonts w:ascii="Times New Roman" w:eastAsia="Times New Roman" w:hAnsi="Times New Roman"/>
          <w:sz w:val="24"/>
          <w:szCs w:val="24"/>
        </w:rPr>
        <w:t xml:space="preserve">compelling </w:t>
      </w:r>
      <w:r w:rsidR="0097513A">
        <w:rPr>
          <w:rFonts w:ascii="Times New Roman" w:eastAsia="Times New Roman" w:hAnsi="Times New Roman"/>
          <w:sz w:val="24"/>
          <w:szCs w:val="24"/>
        </w:rPr>
        <w:t xml:space="preserve">the defendant to </w:t>
      </w:r>
      <w:r w:rsidR="00A029E8">
        <w:rPr>
          <w:rFonts w:ascii="Times New Roman" w:eastAsia="Times New Roman" w:hAnsi="Times New Roman"/>
          <w:sz w:val="24"/>
          <w:szCs w:val="24"/>
        </w:rPr>
        <w:t xml:space="preserve">uphold the contractual agreement made with the plaintiff, which is clearing the outstanding </w:t>
      </w:r>
      <w:r w:rsidR="00EA2295">
        <w:rPr>
          <w:rFonts w:ascii="Times New Roman" w:eastAsia="Times New Roman" w:hAnsi="Times New Roman"/>
          <w:sz w:val="24"/>
          <w:szCs w:val="24"/>
        </w:rPr>
        <w:t>rent arrears</w:t>
      </w:r>
      <w:r w:rsidR="00930A6A">
        <w:rPr>
          <w:rFonts w:ascii="Times New Roman" w:eastAsia="Times New Roman" w:hAnsi="Times New Roman"/>
          <w:sz w:val="24"/>
          <w:szCs w:val="24"/>
        </w:rPr>
        <w:t xml:space="preserve"> (</w:t>
      </w:r>
      <w:r w:rsidR="00930A6A" w:rsidRPr="00930A6A">
        <w:rPr>
          <w:rFonts w:ascii="Times New Roman" w:hAnsi="Times New Roman"/>
          <w:sz w:val="24"/>
          <w:szCs w:val="24"/>
          <w:shd w:val="clear" w:color="auto" w:fill="FFFFFF"/>
        </w:rPr>
        <w:t>Goldstein</w:t>
      </w:r>
      <w:r w:rsidR="00930A6A">
        <w:rPr>
          <w:rFonts w:ascii="Times New Roman" w:hAnsi="Times New Roman"/>
          <w:sz w:val="24"/>
          <w:szCs w:val="24"/>
          <w:shd w:val="clear" w:color="auto" w:fill="FFFFFF"/>
        </w:rPr>
        <w:t xml:space="preserve"> et al., 2009</w:t>
      </w:r>
      <w:r w:rsidR="00930A6A">
        <w:rPr>
          <w:rFonts w:ascii="Times New Roman" w:eastAsia="Times New Roman" w:hAnsi="Times New Roman"/>
          <w:sz w:val="24"/>
          <w:szCs w:val="24"/>
        </w:rPr>
        <w:t>)</w:t>
      </w:r>
      <w:r w:rsidR="004C38A4">
        <w:rPr>
          <w:rFonts w:ascii="Times New Roman" w:eastAsia="Times New Roman" w:hAnsi="Times New Roman"/>
          <w:sz w:val="24"/>
          <w:szCs w:val="24"/>
        </w:rPr>
        <w:t xml:space="preserve">. Doing so will </w:t>
      </w:r>
      <w:r w:rsidR="005C3B05">
        <w:rPr>
          <w:rFonts w:ascii="Times New Roman" w:eastAsia="Times New Roman" w:hAnsi="Times New Roman"/>
          <w:sz w:val="24"/>
          <w:szCs w:val="24"/>
        </w:rPr>
        <w:t xml:space="preserve">involve </w:t>
      </w:r>
      <w:r w:rsidR="007330E7">
        <w:rPr>
          <w:rFonts w:ascii="Times New Roman" w:eastAsia="Times New Roman" w:hAnsi="Times New Roman"/>
          <w:sz w:val="24"/>
          <w:szCs w:val="24"/>
        </w:rPr>
        <w:t xml:space="preserve">establishing the alter ego theory's legal doctrines to </w:t>
      </w:r>
      <w:r w:rsidR="00B549ED">
        <w:rPr>
          <w:rFonts w:ascii="Times New Roman" w:eastAsia="Times New Roman" w:hAnsi="Times New Roman"/>
          <w:sz w:val="24"/>
          <w:szCs w:val="24"/>
        </w:rPr>
        <w:t xml:space="preserve">warrant the course to pierce the corporate veil. </w:t>
      </w:r>
      <w:r w:rsidR="00E91262">
        <w:rPr>
          <w:rFonts w:ascii="Times New Roman" w:eastAsia="Times New Roman" w:hAnsi="Times New Roman"/>
          <w:sz w:val="24"/>
          <w:szCs w:val="24"/>
        </w:rPr>
        <w:t xml:space="preserve">Although incidences of court decisions warranting the piercing of the corporate veil </w:t>
      </w:r>
      <w:r w:rsidR="006049CD">
        <w:rPr>
          <w:rFonts w:ascii="Times New Roman" w:eastAsia="Times New Roman" w:hAnsi="Times New Roman"/>
          <w:sz w:val="24"/>
          <w:szCs w:val="24"/>
        </w:rPr>
        <w:t xml:space="preserve">are entirely rare, </w:t>
      </w:r>
      <w:r w:rsidR="003F3AF8">
        <w:rPr>
          <w:rFonts w:ascii="Times New Roman" w:eastAsia="Times New Roman" w:hAnsi="Times New Roman"/>
          <w:sz w:val="24"/>
          <w:szCs w:val="24"/>
        </w:rPr>
        <w:t xml:space="preserve">they </w:t>
      </w:r>
      <w:r w:rsidR="00143BF6">
        <w:rPr>
          <w:rFonts w:ascii="Times New Roman" w:eastAsia="Times New Roman" w:hAnsi="Times New Roman"/>
          <w:sz w:val="24"/>
          <w:szCs w:val="24"/>
        </w:rPr>
        <w:t xml:space="preserve">have occurred on several occasions throughout history. In these instances, the courts found the </w:t>
      </w:r>
      <w:r w:rsidR="00FD4CE3">
        <w:rPr>
          <w:rFonts w:ascii="Times New Roman" w:eastAsia="Times New Roman" w:hAnsi="Times New Roman"/>
          <w:sz w:val="24"/>
          <w:szCs w:val="24"/>
        </w:rPr>
        <w:t>culprits engaged in gross misconduct, including engaging in acts of negligence and breach of co</w:t>
      </w:r>
      <w:r w:rsidR="00B341DF">
        <w:rPr>
          <w:rFonts w:ascii="Times New Roman" w:eastAsia="Times New Roman" w:hAnsi="Times New Roman"/>
          <w:sz w:val="24"/>
          <w:szCs w:val="24"/>
        </w:rPr>
        <w:t>n</w:t>
      </w:r>
      <w:r w:rsidR="00FD4CE3">
        <w:rPr>
          <w:rFonts w:ascii="Times New Roman" w:eastAsia="Times New Roman" w:hAnsi="Times New Roman"/>
          <w:sz w:val="24"/>
          <w:szCs w:val="24"/>
        </w:rPr>
        <w:t>tract</w:t>
      </w:r>
      <w:r w:rsidR="00930A6A">
        <w:rPr>
          <w:rFonts w:ascii="Times New Roman" w:eastAsia="Times New Roman" w:hAnsi="Times New Roman"/>
          <w:sz w:val="24"/>
          <w:szCs w:val="24"/>
        </w:rPr>
        <w:t xml:space="preserve"> (</w:t>
      </w:r>
      <w:r w:rsidR="00930A6A" w:rsidRPr="00930A6A">
        <w:rPr>
          <w:rFonts w:ascii="Times New Roman" w:hAnsi="Times New Roman"/>
          <w:sz w:val="24"/>
          <w:szCs w:val="24"/>
          <w:shd w:val="clear" w:color="auto" w:fill="FFFFFF"/>
        </w:rPr>
        <w:t>Goldstein</w:t>
      </w:r>
      <w:r w:rsidR="00930A6A">
        <w:rPr>
          <w:rFonts w:ascii="Times New Roman" w:hAnsi="Times New Roman"/>
          <w:sz w:val="24"/>
          <w:szCs w:val="24"/>
          <w:shd w:val="clear" w:color="auto" w:fill="FFFFFF"/>
        </w:rPr>
        <w:t xml:space="preserve"> et al., 2009</w:t>
      </w:r>
      <w:r w:rsidR="00930A6A">
        <w:rPr>
          <w:rFonts w:ascii="Times New Roman" w:eastAsia="Times New Roman" w:hAnsi="Times New Roman"/>
          <w:sz w:val="24"/>
          <w:szCs w:val="24"/>
        </w:rPr>
        <w:t>)</w:t>
      </w:r>
      <w:r w:rsidR="00B341DF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0B5A0387" w14:textId="2EE94CF6" w:rsidR="00B341DF" w:rsidRPr="00767352" w:rsidRDefault="00F54979" w:rsidP="00767352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Generally, three </w:t>
      </w:r>
      <w:r w:rsidR="003D4BDA">
        <w:rPr>
          <w:rFonts w:ascii="Times New Roman" w:eastAsia="Times New Roman" w:hAnsi="Times New Roman"/>
          <w:sz w:val="24"/>
          <w:szCs w:val="24"/>
        </w:rPr>
        <w:t>criteria</w:t>
      </w:r>
      <w:r w:rsidR="0080526C">
        <w:rPr>
          <w:rFonts w:ascii="Times New Roman" w:eastAsia="Times New Roman" w:hAnsi="Times New Roman"/>
          <w:sz w:val="24"/>
          <w:szCs w:val="24"/>
        </w:rPr>
        <w:t xml:space="preserve"> are adopted when </w:t>
      </w:r>
      <w:r w:rsidR="008D1665">
        <w:rPr>
          <w:rFonts w:ascii="Times New Roman" w:eastAsia="Times New Roman" w:hAnsi="Times New Roman"/>
          <w:sz w:val="24"/>
          <w:szCs w:val="24"/>
        </w:rPr>
        <w:t>arguing for the piercing of the corporate veil</w:t>
      </w:r>
      <w:r w:rsidR="00835327">
        <w:rPr>
          <w:rFonts w:ascii="Times New Roman" w:eastAsia="Times New Roman" w:hAnsi="Times New Roman"/>
          <w:sz w:val="24"/>
          <w:szCs w:val="24"/>
        </w:rPr>
        <w:t>, one of which is the instrumentality or domination criteria, also known as the alter ego theory. The criteri</w:t>
      </w:r>
      <w:r w:rsidR="00AF055B">
        <w:rPr>
          <w:rFonts w:ascii="Times New Roman" w:eastAsia="Times New Roman" w:hAnsi="Times New Roman"/>
          <w:sz w:val="24"/>
          <w:szCs w:val="24"/>
        </w:rPr>
        <w:t>on</w:t>
      </w:r>
      <w:r w:rsidR="00835327">
        <w:rPr>
          <w:rFonts w:ascii="Times New Roman" w:eastAsia="Times New Roman" w:hAnsi="Times New Roman"/>
          <w:sz w:val="24"/>
          <w:szCs w:val="24"/>
        </w:rPr>
        <w:t xml:space="preserve"> is based on </w:t>
      </w:r>
      <w:r w:rsidR="008135F3">
        <w:rPr>
          <w:rFonts w:ascii="Times New Roman" w:eastAsia="Times New Roman" w:hAnsi="Times New Roman"/>
          <w:sz w:val="24"/>
          <w:szCs w:val="24"/>
        </w:rPr>
        <w:t xml:space="preserve">the argument </w:t>
      </w:r>
      <w:r w:rsidR="00EC11CA">
        <w:rPr>
          <w:rFonts w:ascii="Times New Roman" w:eastAsia="Times New Roman" w:hAnsi="Times New Roman"/>
          <w:sz w:val="24"/>
          <w:szCs w:val="24"/>
        </w:rPr>
        <w:t>that</w:t>
      </w:r>
      <w:r w:rsidR="00494EDD">
        <w:rPr>
          <w:rFonts w:ascii="Times New Roman" w:eastAsia="Times New Roman" w:hAnsi="Times New Roman"/>
          <w:sz w:val="24"/>
          <w:szCs w:val="24"/>
        </w:rPr>
        <w:t>,</w:t>
      </w:r>
      <w:r w:rsidR="00EC11CA">
        <w:rPr>
          <w:rFonts w:ascii="Times New Roman" w:eastAsia="Times New Roman" w:hAnsi="Times New Roman"/>
          <w:sz w:val="24"/>
          <w:szCs w:val="24"/>
        </w:rPr>
        <w:t xml:space="preserve"> treating an LLC as a mere extension of the individual owners, where the entity and the owner's activities are indistinguishable, then the two should be treated as one</w:t>
      </w:r>
      <w:r w:rsidR="00930A6A">
        <w:rPr>
          <w:rFonts w:ascii="Times New Roman" w:eastAsia="Times New Roman" w:hAnsi="Times New Roman"/>
          <w:sz w:val="24"/>
          <w:szCs w:val="24"/>
        </w:rPr>
        <w:t xml:space="preserve"> </w:t>
      </w:r>
      <w:r w:rsidR="00EC11CA">
        <w:rPr>
          <w:rFonts w:ascii="Times New Roman" w:eastAsia="Times New Roman" w:hAnsi="Times New Roman"/>
          <w:sz w:val="24"/>
          <w:szCs w:val="24"/>
        </w:rPr>
        <w:t>(</w:t>
      </w:r>
      <w:r w:rsidR="00930A6A" w:rsidRPr="00930A6A">
        <w:rPr>
          <w:rFonts w:ascii="Times New Roman" w:hAnsi="Times New Roman"/>
          <w:sz w:val="24"/>
          <w:szCs w:val="24"/>
          <w:shd w:val="clear" w:color="auto" w:fill="FFFFFF"/>
        </w:rPr>
        <w:t>Goldstein</w:t>
      </w:r>
      <w:r w:rsidR="00930A6A">
        <w:rPr>
          <w:rFonts w:ascii="Times New Roman" w:hAnsi="Times New Roman"/>
          <w:sz w:val="24"/>
          <w:szCs w:val="24"/>
          <w:shd w:val="clear" w:color="auto" w:fill="FFFFFF"/>
        </w:rPr>
        <w:t xml:space="preserve"> et al., 2009</w:t>
      </w:r>
      <w:r w:rsidR="00EC11CA">
        <w:rPr>
          <w:rFonts w:ascii="Times New Roman" w:eastAsia="Times New Roman" w:hAnsi="Times New Roman"/>
          <w:sz w:val="24"/>
          <w:szCs w:val="24"/>
        </w:rPr>
        <w:t xml:space="preserve">). </w:t>
      </w:r>
      <w:r w:rsidR="00C3224A">
        <w:rPr>
          <w:rFonts w:ascii="Times New Roman" w:eastAsia="Times New Roman" w:hAnsi="Times New Roman"/>
          <w:sz w:val="24"/>
          <w:szCs w:val="24"/>
        </w:rPr>
        <w:t xml:space="preserve">In this case, </w:t>
      </w:r>
      <w:r w:rsidR="002D1272">
        <w:rPr>
          <w:rFonts w:ascii="Times New Roman" w:eastAsia="Times New Roman" w:hAnsi="Times New Roman"/>
          <w:sz w:val="24"/>
          <w:szCs w:val="24"/>
        </w:rPr>
        <w:t>since the defendant is the major shareholder in Alianza LLC, a corporation without well-defined functions or employee list</w:t>
      </w:r>
      <w:r w:rsidR="006E7495">
        <w:rPr>
          <w:rFonts w:ascii="Times New Roman" w:eastAsia="Times New Roman" w:hAnsi="Times New Roman"/>
          <w:sz w:val="24"/>
          <w:szCs w:val="24"/>
        </w:rPr>
        <w:t xml:space="preserve">s, </w:t>
      </w:r>
      <w:r w:rsidR="009441F1">
        <w:rPr>
          <w:rFonts w:ascii="Times New Roman" w:eastAsia="Times New Roman" w:hAnsi="Times New Roman"/>
          <w:sz w:val="24"/>
          <w:szCs w:val="24"/>
        </w:rPr>
        <w:t xml:space="preserve">the LLC </w:t>
      </w:r>
      <w:r w:rsidR="00AA5B65">
        <w:rPr>
          <w:rFonts w:ascii="Times New Roman" w:eastAsia="Times New Roman" w:hAnsi="Times New Roman"/>
          <w:sz w:val="24"/>
          <w:szCs w:val="24"/>
        </w:rPr>
        <w:t xml:space="preserve">should be treated as an extension of Alianza Dominica, </w:t>
      </w:r>
      <w:r w:rsidR="00A564D2">
        <w:rPr>
          <w:rFonts w:ascii="Times New Roman" w:eastAsia="Times New Roman" w:hAnsi="Times New Roman"/>
          <w:sz w:val="24"/>
          <w:szCs w:val="24"/>
        </w:rPr>
        <w:t xml:space="preserve">making it liable to </w:t>
      </w:r>
      <w:r w:rsidR="00676488">
        <w:rPr>
          <w:rFonts w:ascii="Times New Roman" w:eastAsia="Times New Roman" w:hAnsi="Times New Roman"/>
          <w:sz w:val="24"/>
          <w:szCs w:val="24"/>
        </w:rPr>
        <w:t xml:space="preserve">settle </w:t>
      </w:r>
      <w:r w:rsidR="008C4557">
        <w:rPr>
          <w:rFonts w:ascii="Times New Roman" w:eastAsia="Times New Roman" w:hAnsi="Times New Roman"/>
          <w:sz w:val="24"/>
          <w:szCs w:val="24"/>
        </w:rPr>
        <w:t xml:space="preserve">the founder's liabilities. </w:t>
      </w:r>
      <w:r w:rsidR="00475BC3">
        <w:rPr>
          <w:rFonts w:ascii="Times New Roman" w:eastAsia="Times New Roman" w:hAnsi="Times New Roman"/>
          <w:sz w:val="24"/>
          <w:szCs w:val="24"/>
        </w:rPr>
        <w:t xml:space="preserve">Therefore, </w:t>
      </w:r>
      <w:r w:rsidR="00543F45">
        <w:rPr>
          <w:rFonts w:ascii="Times New Roman" w:eastAsia="Times New Roman" w:hAnsi="Times New Roman"/>
          <w:sz w:val="24"/>
          <w:szCs w:val="24"/>
        </w:rPr>
        <w:t xml:space="preserve">Alianza LLC can be said to have been "dominated" by its owners </w:t>
      </w:r>
      <w:r w:rsidR="00421B70">
        <w:rPr>
          <w:rFonts w:ascii="Times New Roman" w:eastAsia="Times New Roman" w:hAnsi="Times New Roman"/>
          <w:sz w:val="24"/>
          <w:szCs w:val="24"/>
        </w:rPr>
        <w:t xml:space="preserve">and used as an instrument for meeting the owners' needs, that is, evade rent, </w:t>
      </w:r>
      <w:r w:rsidR="00800CA8">
        <w:rPr>
          <w:rFonts w:ascii="Times New Roman" w:eastAsia="Times New Roman" w:hAnsi="Times New Roman"/>
          <w:sz w:val="24"/>
          <w:szCs w:val="24"/>
        </w:rPr>
        <w:t xml:space="preserve">meaning </w:t>
      </w:r>
      <w:r w:rsidR="00475BC3">
        <w:rPr>
          <w:rFonts w:ascii="Times New Roman" w:eastAsia="Times New Roman" w:hAnsi="Times New Roman"/>
          <w:sz w:val="24"/>
          <w:szCs w:val="24"/>
        </w:rPr>
        <w:t xml:space="preserve">there are sufficient grounds to pierce </w:t>
      </w:r>
      <w:r w:rsidR="0011684B">
        <w:rPr>
          <w:rFonts w:ascii="Times New Roman" w:eastAsia="Times New Roman" w:hAnsi="Times New Roman"/>
          <w:sz w:val="24"/>
          <w:szCs w:val="24"/>
        </w:rPr>
        <w:t>it</w:t>
      </w:r>
      <w:r w:rsidR="00475BC3">
        <w:rPr>
          <w:rFonts w:ascii="Times New Roman" w:eastAsia="Times New Roman" w:hAnsi="Times New Roman"/>
          <w:sz w:val="24"/>
          <w:szCs w:val="24"/>
        </w:rPr>
        <w:t>s corporate veil</w:t>
      </w:r>
      <w:r w:rsidR="00D9645F">
        <w:rPr>
          <w:rFonts w:ascii="Times New Roman" w:eastAsia="Times New Roman" w:hAnsi="Times New Roman"/>
          <w:sz w:val="24"/>
          <w:szCs w:val="24"/>
        </w:rPr>
        <w:t xml:space="preserve"> (</w:t>
      </w:r>
      <w:r w:rsidR="00D9645F" w:rsidRPr="00A646E8">
        <w:rPr>
          <w:rFonts w:ascii="Times New Roman" w:hAnsi="Times New Roman"/>
          <w:sz w:val="24"/>
          <w:szCs w:val="24"/>
          <w:shd w:val="clear" w:color="auto" w:fill="FFFFFF"/>
        </w:rPr>
        <w:t>Jelsma &amp; Nollkamper,</w:t>
      </w:r>
      <w:r w:rsidR="00D9645F">
        <w:rPr>
          <w:rFonts w:ascii="Times New Roman" w:hAnsi="Times New Roman"/>
          <w:sz w:val="24"/>
          <w:szCs w:val="24"/>
          <w:shd w:val="clear" w:color="auto" w:fill="FFFFFF"/>
        </w:rPr>
        <w:t xml:space="preserve"> 2018</w:t>
      </w:r>
      <w:r w:rsidR="00D9645F">
        <w:rPr>
          <w:rFonts w:ascii="Times New Roman" w:eastAsia="Times New Roman" w:hAnsi="Times New Roman"/>
          <w:sz w:val="24"/>
          <w:szCs w:val="24"/>
        </w:rPr>
        <w:t>)</w:t>
      </w:r>
      <w:r w:rsidR="00475BC3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3AF0020D" w14:textId="7B86B3D3" w:rsidR="00FA5063" w:rsidRDefault="00F54979" w:rsidP="00552517">
      <w:pPr>
        <w:spacing w:after="0" w:line="48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>Information Collecti</w:t>
      </w:r>
      <w:r>
        <w:rPr>
          <w:rFonts w:ascii="Times New Roman" w:eastAsia="Times New Roman" w:hAnsi="Times New Roman"/>
          <w:b/>
          <w:bCs/>
          <w:sz w:val="24"/>
          <w:szCs w:val="24"/>
        </w:rPr>
        <w:t>o</w:t>
      </w: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>n and Analy</w:t>
      </w:r>
      <w:r>
        <w:rPr>
          <w:rFonts w:ascii="Times New Roman" w:eastAsia="Times New Roman" w:hAnsi="Times New Roman"/>
          <w:b/>
          <w:bCs/>
          <w:sz w:val="24"/>
          <w:szCs w:val="24"/>
        </w:rPr>
        <w:t>s</w:t>
      </w: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/>
          <w:b/>
          <w:bCs/>
          <w:sz w:val="24"/>
          <w:szCs w:val="24"/>
        </w:rPr>
        <w:t>s</w:t>
      </w:r>
    </w:p>
    <w:p w14:paraId="0F8B2EFD" w14:textId="37903689" w:rsidR="00AE291B" w:rsidRDefault="00F54979" w:rsidP="00A646E8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In business law, </w:t>
      </w:r>
      <w:r w:rsidR="00D14EBF">
        <w:rPr>
          <w:rFonts w:ascii="Times New Roman" w:eastAsia="Times New Roman" w:hAnsi="Times New Roman"/>
          <w:sz w:val="24"/>
          <w:szCs w:val="24"/>
        </w:rPr>
        <w:t xml:space="preserve">previous experiences and court rulings are essential in </w:t>
      </w:r>
      <w:r w:rsidR="006C10D7">
        <w:rPr>
          <w:rFonts w:ascii="Times New Roman" w:eastAsia="Times New Roman" w:hAnsi="Times New Roman"/>
          <w:sz w:val="24"/>
          <w:szCs w:val="24"/>
        </w:rPr>
        <w:t xml:space="preserve">determining </w:t>
      </w:r>
      <w:r w:rsidR="000C2AF1">
        <w:rPr>
          <w:rFonts w:ascii="Times New Roman" w:eastAsia="Times New Roman" w:hAnsi="Times New Roman"/>
          <w:sz w:val="24"/>
          <w:szCs w:val="24"/>
        </w:rPr>
        <w:t xml:space="preserve">the development and establishment of </w:t>
      </w:r>
      <w:r w:rsidR="00230B98">
        <w:rPr>
          <w:rFonts w:ascii="Times New Roman" w:eastAsia="Times New Roman" w:hAnsi="Times New Roman"/>
          <w:sz w:val="24"/>
          <w:szCs w:val="24"/>
        </w:rPr>
        <w:t xml:space="preserve">policies and protocols </w:t>
      </w:r>
      <w:r w:rsidR="007719A2">
        <w:rPr>
          <w:rFonts w:ascii="Times New Roman" w:eastAsia="Times New Roman" w:hAnsi="Times New Roman"/>
          <w:sz w:val="24"/>
          <w:szCs w:val="24"/>
        </w:rPr>
        <w:t xml:space="preserve">dictating business </w:t>
      </w:r>
      <w:r w:rsidR="000F7151">
        <w:rPr>
          <w:rFonts w:ascii="Times New Roman" w:eastAsia="Times New Roman" w:hAnsi="Times New Roman"/>
          <w:sz w:val="24"/>
          <w:szCs w:val="24"/>
        </w:rPr>
        <w:t>interaction</w:t>
      </w:r>
      <w:r w:rsidR="00EB2FBC">
        <w:rPr>
          <w:rFonts w:ascii="Times New Roman" w:eastAsia="Times New Roman" w:hAnsi="Times New Roman"/>
          <w:sz w:val="24"/>
          <w:szCs w:val="24"/>
        </w:rPr>
        <w:t xml:space="preserve"> </w:t>
      </w:r>
      <w:r w:rsidR="00DC7156">
        <w:rPr>
          <w:rFonts w:ascii="Times New Roman" w:eastAsia="Times New Roman" w:hAnsi="Times New Roman"/>
          <w:sz w:val="24"/>
          <w:szCs w:val="24"/>
        </w:rPr>
        <w:t>(</w:t>
      </w:r>
      <w:r w:rsidR="00EB2FBC" w:rsidRPr="00565BEB">
        <w:rPr>
          <w:rFonts w:ascii="Times New Roman" w:hAnsi="Times New Roman"/>
          <w:sz w:val="24"/>
          <w:szCs w:val="24"/>
          <w:shd w:val="clear" w:color="auto" w:fill="FFFFFF"/>
        </w:rPr>
        <w:t>Melvin &amp; Katz,</w:t>
      </w:r>
      <w:r w:rsidR="00EB2FBC">
        <w:rPr>
          <w:rFonts w:ascii="Times New Roman" w:hAnsi="Times New Roman"/>
          <w:sz w:val="24"/>
          <w:szCs w:val="24"/>
          <w:shd w:val="clear" w:color="auto" w:fill="FFFFFF"/>
        </w:rPr>
        <w:t xml:space="preserve"> 2010</w:t>
      </w:r>
      <w:r w:rsidR="00DC7156">
        <w:rPr>
          <w:rFonts w:ascii="Times New Roman" w:eastAsia="Times New Roman" w:hAnsi="Times New Roman"/>
          <w:sz w:val="24"/>
          <w:szCs w:val="24"/>
        </w:rPr>
        <w:t>)</w:t>
      </w:r>
      <w:r w:rsidR="000F7151">
        <w:rPr>
          <w:rFonts w:ascii="Times New Roman" w:eastAsia="Times New Roman" w:hAnsi="Times New Roman"/>
          <w:sz w:val="24"/>
          <w:szCs w:val="24"/>
        </w:rPr>
        <w:t xml:space="preserve">. </w:t>
      </w:r>
      <w:r w:rsidR="00046E91">
        <w:rPr>
          <w:rFonts w:ascii="Times New Roman" w:eastAsia="Times New Roman" w:hAnsi="Times New Roman"/>
          <w:sz w:val="24"/>
          <w:szCs w:val="24"/>
        </w:rPr>
        <w:t xml:space="preserve">Therefore, data </w:t>
      </w:r>
      <w:r w:rsidR="001905EE">
        <w:rPr>
          <w:rFonts w:ascii="Times New Roman" w:eastAsia="Times New Roman" w:hAnsi="Times New Roman"/>
          <w:sz w:val="24"/>
          <w:szCs w:val="24"/>
        </w:rPr>
        <w:t xml:space="preserve">collection and </w:t>
      </w:r>
      <w:r w:rsidR="00080FE9">
        <w:rPr>
          <w:rFonts w:ascii="Times New Roman" w:eastAsia="Times New Roman" w:hAnsi="Times New Roman"/>
          <w:sz w:val="24"/>
          <w:szCs w:val="24"/>
        </w:rPr>
        <w:t xml:space="preserve">analysis will entail </w:t>
      </w:r>
      <w:r w:rsidR="00762D7A">
        <w:rPr>
          <w:rFonts w:ascii="Times New Roman" w:eastAsia="Times New Roman" w:hAnsi="Times New Roman"/>
          <w:sz w:val="24"/>
          <w:szCs w:val="24"/>
        </w:rPr>
        <w:t xml:space="preserve">identifying and </w:t>
      </w:r>
      <w:r w:rsidR="003F1823">
        <w:rPr>
          <w:rFonts w:ascii="Times New Roman" w:eastAsia="Times New Roman" w:hAnsi="Times New Roman"/>
          <w:sz w:val="24"/>
          <w:szCs w:val="24"/>
        </w:rPr>
        <w:t xml:space="preserve">presenting previous </w:t>
      </w:r>
      <w:r w:rsidR="003F1823">
        <w:rPr>
          <w:rFonts w:ascii="Times New Roman" w:eastAsia="Times New Roman" w:hAnsi="Times New Roman"/>
          <w:sz w:val="24"/>
          <w:szCs w:val="24"/>
        </w:rPr>
        <w:lastRenderedPageBreak/>
        <w:t xml:space="preserve">court </w:t>
      </w:r>
      <w:r w:rsidR="00436E31">
        <w:rPr>
          <w:rFonts w:ascii="Times New Roman" w:eastAsia="Times New Roman" w:hAnsi="Times New Roman"/>
          <w:sz w:val="24"/>
          <w:szCs w:val="24"/>
        </w:rPr>
        <w:t>precedence</w:t>
      </w:r>
      <w:r w:rsidR="003F1823">
        <w:rPr>
          <w:rFonts w:ascii="Times New Roman" w:eastAsia="Times New Roman" w:hAnsi="Times New Roman"/>
          <w:sz w:val="24"/>
          <w:szCs w:val="24"/>
        </w:rPr>
        <w:t xml:space="preserve"> </w:t>
      </w:r>
      <w:r w:rsidR="00C036E3">
        <w:rPr>
          <w:rFonts w:ascii="Times New Roman" w:eastAsia="Times New Roman" w:hAnsi="Times New Roman"/>
          <w:sz w:val="24"/>
          <w:szCs w:val="24"/>
        </w:rPr>
        <w:t xml:space="preserve">that will be </w:t>
      </w:r>
      <w:r w:rsidR="00BC2165">
        <w:rPr>
          <w:rFonts w:ascii="Times New Roman" w:eastAsia="Times New Roman" w:hAnsi="Times New Roman"/>
          <w:sz w:val="24"/>
          <w:szCs w:val="24"/>
        </w:rPr>
        <w:t xml:space="preserve">influential in </w:t>
      </w:r>
      <w:r w:rsidR="00951C5B">
        <w:rPr>
          <w:rFonts w:ascii="Times New Roman" w:eastAsia="Times New Roman" w:hAnsi="Times New Roman"/>
          <w:sz w:val="24"/>
          <w:szCs w:val="24"/>
        </w:rPr>
        <w:t>achieving the desired outcomes</w:t>
      </w:r>
      <w:r w:rsidR="00A572AD">
        <w:rPr>
          <w:rFonts w:ascii="Times New Roman" w:eastAsia="Times New Roman" w:hAnsi="Times New Roman"/>
          <w:sz w:val="24"/>
          <w:szCs w:val="24"/>
        </w:rPr>
        <w:t xml:space="preserve">. </w:t>
      </w:r>
      <w:r w:rsidR="00064614">
        <w:rPr>
          <w:rFonts w:ascii="Times New Roman" w:eastAsia="Times New Roman" w:hAnsi="Times New Roman"/>
          <w:sz w:val="24"/>
          <w:szCs w:val="24"/>
        </w:rPr>
        <w:t xml:space="preserve">One of the essential factors to consider when seeking compensation from an LLC in the post-incorporation period is </w:t>
      </w:r>
      <w:r w:rsidR="000C70FC">
        <w:rPr>
          <w:rFonts w:ascii="Times New Roman" w:eastAsia="Times New Roman" w:hAnsi="Times New Roman"/>
          <w:sz w:val="24"/>
          <w:szCs w:val="24"/>
        </w:rPr>
        <w:t xml:space="preserve">the concept of retroactivity, </w:t>
      </w:r>
      <w:r w:rsidR="007D2668">
        <w:rPr>
          <w:rFonts w:ascii="Times New Roman" w:eastAsia="Times New Roman" w:hAnsi="Times New Roman"/>
          <w:sz w:val="24"/>
          <w:szCs w:val="24"/>
        </w:rPr>
        <w:t xml:space="preserve">which covers the extent of the scope or effect of </w:t>
      </w:r>
      <w:r w:rsidR="00215CD9">
        <w:rPr>
          <w:rFonts w:ascii="Times New Roman" w:eastAsia="Times New Roman" w:hAnsi="Times New Roman"/>
          <w:sz w:val="24"/>
          <w:szCs w:val="24"/>
        </w:rPr>
        <w:t>conditions before the enactment or imposition of a new policy or protocol</w:t>
      </w:r>
      <w:r w:rsidR="0041491F">
        <w:rPr>
          <w:rFonts w:ascii="Times New Roman" w:eastAsia="Times New Roman" w:hAnsi="Times New Roman"/>
          <w:sz w:val="24"/>
          <w:szCs w:val="24"/>
        </w:rPr>
        <w:t xml:space="preserve"> </w:t>
      </w:r>
      <w:r w:rsidR="00215CD9">
        <w:rPr>
          <w:rFonts w:ascii="Times New Roman" w:eastAsia="Times New Roman" w:hAnsi="Times New Roman"/>
          <w:sz w:val="24"/>
          <w:szCs w:val="24"/>
        </w:rPr>
        <w:t>(</w:t>
      </w:r>
      <w:r w:rsidR="0041491F">
        <w:rPr>
          <w:rFonts w:ascii="Times New Roman" w:eastAsia="Times New Roman" w:hAnsi="Times New Roman"/>
          <w:sz w:val="24"/>
          <w:szCs w:val="24"/>
        </w:rPr>
        <w:t>Berry, 2016</w:t>
      </w:r>
      <w:r w:rsidR="00215CD9">
        <w:rPr>
          <w:rFonts w:ascii="Times New Roman" w:eastAsia="Times New Roman" w:hAnsi="Times New Roman"/>
          <w:sz w:val="24"/>
          <w:szCs w:val="24"/>
        </w:rPr>
        <w:t xml:space="preserve">). </w:t>
      </w:r>
    </w:p>
    <w:p w14:paraId="1E61A4EC" w14:textId="3DC37C7A" w:rsidR="00A646E8" w:rsidRPr="00A646E8" w:rsidRDefault="00F54979" w:rsidP="00A646E8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In the business environment, the concept of retroactivity determines the effective date of incorporation of </w:t>
      </w:r>
      <w:r w:rsidR="000258C2">
        <w:rPr>
          <w:rFonts w:ascii="Times New Roman" w:eastAsia="Times New Roman" w:hAnsi="Times New Roman"/>
          <w:sz w:val="24"/>
          <w:szCs w:val="24"/>
        </w:rPr>
        <w:t xml:space="preserve">a corporation, determining </w:t>
      </w:r>
      <w:r w:rsidR="006329B8">
        <w:rPr>
          <w:rFonts w:ascii="Times New Roman" w:eastAsia="Times New Roman" w:hAnsi="Times New Roman"/>
          <w:sz w:val="24"/>
          <w:szCs w:val="24"/>
        </w:rPr>
        <w:t xml:space="preserve">the impacts of </w:t>
      </w:r>
      <w:r w:rsidR="009B2A46">
        <w:rPr>
          <w:rFonts w:ascii="Times New Roman" w:eastAsia="Times New Roman" w:hAnsi="Times New Roman"/>
          <w:sz w:val="24"/>
          <w:szCs w:val="24"/>
        </w:rPr>
        <w:t xml:space="preserve">new and enacted policies on its performance pre- and post-incorporation. </w:t>
      </w:r>
      <w:r w:rsidR="005522D5">
        <w:rPr>
          <w:rFonts w:ascii="Times New Roman" w:eastAsia="Times New Roman" w:hAnsi="Times New Roman"/>
          <w:sz w:val="24"/>
          <w:szCs w:val="24"/>
        </w:rPr>
        <w:t xml:space="preserve">In this regard, the </w:t>
      </w:r>
      <w:r w:rsidR="005522D5" w:rsidRPr="005522D5">
        <w:rPr>
          <w:rFonts w:ascii="Times New Roman" w:eastAsia="Times New Roman" w:hAnsi="Times New Roman"/>
          <w:i/>
          <w:iCs/>
          <w:sz w:val="24"/>
          <w:szCs w:val="24"/>
        </w:rPr>
        <w:t>James Square Assocs. LP v. Mullen</w:t>
      </w:r>
      <w:r w:rsidR="005522D5">
        <w:rPr>
          <w:rFonts w:ascii="Times New Roman" w:eastAsia="Times New Roman" w:hAnsi="Times New Roman"/>
          <w:sz w:val="24"/>
          <w:szCs w:val="24"/>
        </w:rPr>
        <w:t xml:space="preserve"> </w:t>
      </w:r>
      <w:r w:rsidR="00F13864">
        <w:rPr>
          <w:rFonts w:ascii="Times New Roman" w:eastAsia="Times New Roman" w:hAnsi="Times New Roman"/>
          <w:sz w:val="24"/>
          <w:szCs w:val="24"/>
        </w:rPr>
        <w:t>case, the Supreme Court</w:t>
      </w:r>
      <w:r w:rsidR="005522D5">
        <w:rPr>
          <w:rFonts w:ascii="Times New Roman" w:eastAsia="Times New Roman" w:hAnsi="Times New Roman"/>
          <w:sz w:val="24"/>
          <w:szCs w:val="24"/>
        </w:rPr>
        <w:t xml:space="preserve"> s</w:t>
      </w:r>
      <w:r w:rsidR="00F13864">
        <w:rPr>
          <w:rFonts w:ascii="Times New Roman" w:eastAsia="Times New Roman" w:hAnsi="Times New Roman"/>
          <w:sz w:val="24"/>
          <w:szCs w:val="24"/>
        </w:rPr>
        <w:t xml:space="preserve">et the precedence by determining that imposing new criteria and programs retroactively has no legal </w:t>
      </w:r>
      <w:r w:rsidR="008F0ADA">
        <w:rPr>
          <w:rFonts w:ascii="Times New Roman" w:eastAsia="Times New Roman" w:hAnsi="Times New Roman"/>
          <w:sz w:val="24"/>
          <w:szCs w:val="24"/>
        </w:rPr>
        <w:t>standing</w:t>
      </w:r>
      <w:r w:rsidR="00C809FA">
        <w:rPr>
          <w:rFonts w:ascii="Times New Roman" w:eastAsia="Times New Roman" w:hAnsi="Times New Roman"/>
          <w:sz w:val="24"/>
          <w:szCs w:val="24"/>
        </w:rPr>
        <w:t xml:space="preserve"> </w:t>
      </w:r>
      <w:r w:rsidR="00424F8E">
        <w:rPr>
          <w:rFonts w:ascii="Times New Roman" w:eastAsia="Times New Roman" w:hAnsi="Times New Roman"/>
          <w:sz w:val="24"/>
          <w:szCs w:val="24"/>
        </w:rPr>
        <w:t>(</w:t>
      </w:r>
      <w:r w:rsidR="00C809FA">
        <w:rPr>
          <w:rFonts w:ascii="Times New Roman" w:eastAsia="Times New Roman" w:hAnsi="Times New Roman"/>
          <w:sz w:val="24"/>
          <w:szCs w:val="24"/>
        </w:rPr>
        <w:t>Wevill, 2019</w:t>
      </w:r>
      <w:r w:rsidR="00424F8E">
        <w:rPr>
          <w:rFonts w:ascii="Times New Roman" w:eastAsia="Times New Roman" w:hAnsi="Times New Roman"/>
          <w:sz w:val="24"/>
          <w:szCs w:val="24"/>
        </w:rPr>
        <w:t>)</w:t>
      </w:r>
      <w:r w:rsidR="008F0ADA">
        <w:rPr>
          <w:rFonts w:ascii="Times New Roman" w:eastAsia="Times New Roman" w:hAnsi="Times New Roman"/>
          <w:sz w:val="24"/>
          <w:szCs w:val="24"/>
        </w:rPr>
        <w:t xml:space="preserve">. </w:t>
      </w:r>
      <w:r w:rsidR="00F77DDA">
        <w:rPr>
          <w:rFonts w:ascii="Times New Roman" w:eastAsia="Times New Roman" w:hAnsi="Times New Roman"/>
          <w:sz w:val="24"/>
          <w:szCs w:val="24"/>
        </w:rPr>
        <w:t xml:space="preserve">The New Jersey code went a step further by defining the US codes and statutes to define the </w:t>
      </w:r>
      <w:r w:rsidR="002A4F91">
        <w:rPr>
          <w:rFonts w:ascii="Times New Roman" w:eastAsia="Times New Roman" w:hAnsi="Times New Roman"/>
          <w:sz w:val="24"/>
          <w:szCs w:val="24"/>
        </w:rPr>
        <w:t xml:space="preserve">criteria for determining reimbursement </w:t>
      </w:r>
      <w:r w:rsidR="002A4F91" w:rsidRPr="002A4F91">
        <w:rPr>
          <w:rFonts w:ascii="Times New Roman" w:eastAsia="Times New Roman" w:hAnsi="Times New Roman"/>
          <w:sz w:val="24"/>
          <w:szCs w:val="24"/>
        </w:rPr>
        <w:t>for retroactive eligibility</w:t>
      </w:r>
      <w:r w:rsidR="00D13617">
        <w:rPr>
          <w:rFonts w:ascii="Times New Roman" w:eastAsia="Times New Roman" w:hAnsi="Times New Roman"/>
          <w:sz w:val="24"/>
          <w:szCs w:val="24"/>
        </w:rPr>
        <w:t>. Under the New Jersey Code, where a provider bills an applicant directly, the applicant is liable for making reimbursements for services provided within the retroactive period</w:t>
      </w:r>
      <w:r w:rsidR="00C809FA">
        <w:rPr>
          <w:rFonts w:ascii="Times New Roman" w:eastAsia="Times New Roman" w:hAnsi="Times New Roman"/>
          <w:sz w:val="24"/>
          <w:szCs w:val="24"/>
        </w:rPr>
        <w:t xml:space="preserve"> </w:t>
      </w:r>
      <w:r w:rsidR="00D13617">
        <w:rPr>
          <w:rFonts w:ascii="Times New Roman" w:eastAsia="Times New Roman" w:hAnsi="Times New Roman"/>
          <w:sz w:val="24"/>
          <w:szCs w:val="24"/>
        </w:rPr>
        <w:t>(</w:t>
      </w:r>
      <w:r w:rsidR="00C809FA">
        <w:rPr>
          <w:rFonts w:ascii="Times New Roman" w:eastAsia="Times New Roman" w:hAnsi="Times New Roman"/>
          <w:sz w:val="24"/>
          <w:szCs w:val="24"/>
        </w:rPr>
        <w:t>Wevill, 2019</w:t>
      </w:r>
      <w:r w:rsidR="00D13617">
        <w:rPr>
          <w:rFonts w:ascii="Times New Roman" w:eastAsia="Times New Roman" w:hAnsi="Times New Roman"/>
          <w:sz w:val="24"/>
          <w:szCs w:val="24"/>
        </w:rPr>
        <w:t xml:space="preserve">). </w:t>
      </w:r>
      <w:r w:rsidR="00113B98">
        <w:rPr>
          <w:rFonts w:ascii="Times New Roman" w:eastAsia="Times New Roman" w:hAnsi="Times New Roman"/>
          <w:sz w:val="24"/>
          <w:szCs w:val="24"/>
        </w:rPr>
        <w:t xml:space="preserve">Therefore, since </w:t>
      </w:r>
      <w:r w:rsidR="00F36E43">
        <w:rPr>
          <w:rFonts w:ascii="Times New Roman" w:eastAsia="Times New Roman" w:hAnsi="Times New Roman"/>
          <w:sz w:val="24"/>
          <w:szCs w:val="24"/>
        </w:rPr>
        <w:t xml:space="preserve">the defendant discretely formed Alianza LLC without the plaintiff's knowledge, they are liable for reimbursing the </w:t>
      </w:r>
      <w:r w:rsidR="003B2DEF">
        <w:rPr>
          <w:rFonts w:ascii="Times New Roman" w:eastAsia="Times New Roman" w:hAnsi="Times New Roman"/>
          <w:sz w:val="24"/>
          <w:szCs w:val="24"/>
        </w:rPr>
        <w:t>plaintiff</w:t>
      </w:r>
      <w:r w:rsidR="006C18DB">
        <w:rPr>
          <w:rFonts w:ascii="Times New Roman" w:eastAsia="Times New Roman" w:hAnsi="Times New Roman"/>
          <w:sz w:val="24"/>
          <w:szCs w:val="24"/>
        </w:rPr>
        <w:t xml:space="preserve"> for any </w:t>
      </w:r>
      <w:r w:rsidR="00AC3B11">
        <w:rPr>
          <w:rFonts w:ascii="Times New Roman" w:eastAsia="Times New Roman" w:hAnsi="Times New Roman"/>
          <w:sz w:val="24"/>
          <w:szCs w:val="24"/>
        </w:rPr>
        <w:t>damages</w:t>
      </w:r>
      <w:r w:rsidR="003B2DEF">
        <w:rPr>
          <w:rFonts w:ascii="Times New Roman" w:eastAsia="Times New Roman" w:hAnsi="Times New Roman"/>
          <w:sz w:val="24"/>
          <w:szCs w:val="24"/>
        </w:rPr>
        <w:t xml:space="preserve">, including </w:t>
      </w:r>
      <w:r w:rsidR="006C18DB">
        <w:rPr>
          <w:rFonts w:ascii="Times New Roman" w:eastAsia="Times New Roman" w:hAnsi="Times New Roman"/>
          <w:sz w:val="24"/>
          <w:szCs w:val="24"/>
        </w:rPr>
        <w:t xml:space="preserve">rent. </w:t>
      </w:r>
    </w:p>
    <w:p w14:paraId="736EDBC3" w14:textId="46E6CD2F" w:rsidR="0052294B" w:rsidRPr="00FA5063" w:rsidRDefault="00F54979" w:rsidP="00930A6A">
      <w:pPr>
        <w:spacing w:after="0" w:line="480" w:lineRule="auto"/>
        <w:jc w:val="center"/>
        <w:rPr>
          <w:rFonts w:ascii="Times New Roman" w:hAnsi="Times New Roman"/>
          <w:b/>
          <w:bCs/>
          <w:sz w:val="24"/>
        </w:rPr>
      </w:pP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>Interpre</w:t>
      </w:r>
      <w:r w:rsidR="00930A6A">
        <w:rPr>
          <w:rFonts w:ascii="Times New Roman" w:eastAsia="Times New Roman" w:hAnsi="Times New Roman"/>
          <w:b/>
          <w:bCs/>
          <w:sz w:val="24"/>
          <w:szCs w:val="24"/>
        </w:rPr>
        <w:t>ta</w:t>
      </w: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>ti</w:t>
      </w:r>
      <w:r w:rsidR="00930A6A">
        <w:rPr>
          <w:rFonts w:ascii="Times New Roman" w:eastAsia="Times New Roman" w:hAnsi="Times New Roman"/>
          <w:b/>
          <w:bCs/>
          <w:sz w:val="24"/>
          <w:szCs w:val="24"/>
        </w:rPr>
        <w:t>o</w:t>
      </w: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>n</w:t>
      </w:r>
      <w:r w:rsidR="00930A6A">
        <w:rPr>
          <w:rFonts w:ascii="Times New Roman" w:eastAsia="Times New Roman" w:hAnsi="Times New Roman"/>
          <w:b/>
          <w:bCs/>
          <w:sz w:val="24"/>
          <w:szCs w:val="24"/>
        </w:rPr>
        <w:t xml:space="preserve"> of</w:t>
      </w: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 xml:space="preserve"> Findings and </w:t>
      </w:r>
      <w:r w:rsidR="00930A6A">
        <w:rPr>
          <w:rFonts w:ascii="Times New Roman" w:eastAsia="Times New Roman" w:hAnsi="Times New Roman"/>
          <w:b/>
          <w:bCs/>
          <w:sz w:val="24"/>
          <w:szCs w:val="24"/>
        </w:rPr>
        <w:t xml:space="preserve">Problem </w:t>
      </w: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>Sol</w:t>
      </w:r>
      <w:r w:rsidR="00930A6A">
        <w:rPr>
          <w:rFonts w:ascii="Times New Roman" w:eastAsia="Times New Roman" w:hAnsi="Times New Roman"/>
          <w:b/>
          <w:bCs/>
          <w:sz w:val="24"/>
          <w:szCs w:val="24"/>
        </w:rPr>
        <w:t>ut</w:t>
      </w: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>i</w:t>
      </w:r>
      <w:r w:rsidR="00930A6A">
        <w:rPr>
          <w:rFonts w:ascii="Times New Roman" w:eastAsia="Times New Roman" w:hAnsi="Times New Roman"/>
          <w:b/>
          <w:bCs/>
          <w:sz w:val="24"/>
          <w:szCs w:val="24"/>
        </w:rPr>
        <w:t>o</w:t>
      </w:r>
      <w:r w:rsidRPr="00FA5063">
        <w:rPr>
          <w:rFonts w:ascii="Times New Roman" w:eastAsia="Times New Roman" w:hAnsi="Times New Roman"/>
          <w:b/>
          <w:bCs/>
          <w:sz w:val="24"/>
          <w:szCs w:val="24"/>
        </w:rPr>
        <w:t>n</w:t>
      </w:r>
    </w:p>
    <w:p w14:paraId="6E8224EF" w14:textId="48D9E406" w:rsidR="001C1D66" w:rsidRDefault="00F54979" w:rsidP="006C6A46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As mentioned earlier, </w:t>
      </w:r>
      <w:r w:rsidR="00C60A0C">
        <w:rPr>
          <w:rFonts w:ascii="Times New Roman" w:hAnsi="Times New Roman"/>
          <w:sz w:val="24"/>
        </w:rPr>
        <w:t xml:space="preserve">the plaintiff has sufficient ground to argue for breaking the defendant's </w:t>
      </w:r>
      <w:r w:rsidR="00EE5B8E">
        <w:rPr>
          <w:rFonts w:ascii="Times New Roman" w:hAnsi="Times New Roman"/>
          <w:sz w:val="24"/>
        </w:rPr>
        <w:t xml:space="preserve">corporate </w:t>
      </w:r>
      <w:r w:rsidR="00B0419B">
        <w:rPr>
          <w:rFonts w:ascii="Times New Roman" w:hAnsi="Times New Roman"/>
          <w:sz w:val="24"/>
        </w:rPr>
        <w:t xml:space="preserve">veil, prompting the </w:t>
      </w:r>
      <w:r w:rsidR="006E6248">
        <w:rPr>
          <w:rFonts w:ascii="Times New Roman" w:hAnsi="Times New Roman"/>
          <w:sz w:val="24"/>
        </w:rPr>
        <w:t xml:space="preserve">court to compel the defendant to clear the unpaid rent. </w:t>
      </w:r>
      <w:r w:rsidR="00307FCE">
        <w:rPr>
          <w:rFonts w:ascii="Times New Roman" w:hAnsi="Times New Roman"/>
          <w:sz w:val="24"/>
        </w:rPr>
        <w:t xml:space="preserve">By violating the lease agreement established based on the </w:t>
      </w:r>
      <w:r w:rsidR="00307FCE">
        <w:rPr>
          <w:rFonts w:ascii="Times New Roman" w:eastAsia="Times New Roman" w:hAnsi="Times New Roman"/>
          <w:sz w:val="24"/>
          <w:szCs w:val="24"/>
        </w:rPr>
        <w:t>l</w:t>
      </w:r>
      <w:r w:rsidR="00307FCE" w:rsidRPr="00BE3267">
        <w:rPr>
          <w:rFonts w:ascii="Times New Roman" w:eastAsia="Times New Roman" w:hAnsi="Times New Roman"/>
          <w:sz w:val="24"/>
          <w:szCs w:val="24"/>
        </w:rPr>
        <w:t>andlord-tenant law</w:t>
      </w:r>
      <w:r w:rsidR="00307FCE">
        <w:rPr>
          <w:rFonts w:ascii="Times New Roman" w:eastAsia="Times New Roman" w:hAnsi="Times New Roman"/>
          <w:sz w:val="24"/>
          <w:szCs w:val="24"/>
        </w:rPr>
        <w:t xml:space="preserve">, the plaintiff may argue based on breach of contract, </w:t>
      </w:r>
      <w:r w:rsidR="00BB2B94">
        <w:rPr>
          <w:rFonts w:ascii="Times New Roman" w:eastAsia="Times New Roman" w:hAnsi="Times New Roman"/>
          <w:sz w:val="24"/>
          <w:szCs w:val="24"/>
        </w:rPr>
        <w:t>invoking the application of the alter ego theory</w:t>
      </w:r>
      <w:r w:rsidR="00930A6A">
        <w:rPr>
          <w:rFonts w:ascii="Times New Roman" w:eastAsia="Times New Roman" w:hAnsi="Times New Roman"/>
          <w:sz w:val="24"/>
          <w:szCs w:val="24"/>
        </w:rPr>
        <w:t xml:space="preserve"> (</w:t>
      </w:r>
      <w:r w:rsidR="00930A6A" w:rsidRPr="00930A6A">
        <w:rPr>
          <w:rFonts w:ascii="Times New Roman" w:hAnsi="Times New Roman"/>
          <w:sz w:val="24"/>
          <w:szCs w:val="24"/>
          <w:shd w:val="clear" w:color="auto" w:fill="FFFFFF"/>
        </w:rPr>
        <w:t>Goldstein</w:t>
      </w:r>
      <w:r w:rsidR="00930A6A">
        <w:rPr>
          <w:rFonts w:ascii="Times New Roman" w:hAnsi="Times New Roman"/>
          <w:sz w:val="24"/>
          <w:szCs w:val="24"/>
          <w:shd w:val="clear" w:color="auto" w:fill="FFFFFF"/>
        </w:rPr>
        <w:t xml:space="preserve"> et al., 2009</w:t>
      </w:r>
      <w:r w:rsidR="00930A6A">
        <w:rPr>
          <w:rFonts w:ascii="Times New Roman" w:eastAsia="Times New Roman" w:hAnsi="Times New Roman"/>
          <w:sz w:val="24"/>
          <w:szCs w:val="24"/>
        </w:rPr>
        <w:t>)</w:t>
      </w:r>
      <w:r w:rsidR="00BB2B94">
        <w:rPr>
          <w:rFonts w:ascii="Times New Roman" w:eastAsia="Times New Roman" w:hAnsi="Times New Roman"/>
          <w:sz w:val="24"/>
          <w:szCs w:val="24"/>
        </w:rPr>
        <w:t xml:space="preserve">. Additionally, the Supreme court ruling in the </w:t>
      </w:r>
      <w:r w:rsidR="00BB2B94" w:rsidRPr="005522D5">
        <w:rPr>
          <w:rFonts w:ascii="Times New Roman" w:eastAsia="Times New Roman" w:hAnsi="Times New Roman"/>
          <w:i/>
          <w:iCs/>
          <w:sz w:val="24"/>
          <w:szCs w:val="24"/>
        </w:rPr>
        <w:t>James Square Assocs. LP v. Mullen</w:t>
      </w:r>
      <w:r w:rsidR="00BB2B94">
        <w:rPr>
          <w:rFonts w:ascii="Times New Roman" w:eastAsia="Times New Roman" w:hAnsi="Times New Roman"/>
          <w:sz w:val="24"/>
          <w:szCs w:val="24"/>
        </w:rPr>
        <w:t xml:space="preserve"> case forms the basis for </w:t>
      </w:r>
      <w:r w:rsidR="006E792A">
        <w:rPr>
          <w:rFonts w:ascii="Times New Roman" w:eastAsia="Times New Roman" w:hAnsi="Times New Roman"/>
          <w:sz w:val="24"/>
          <w:szCs w:val="24"/>
        </w:rPr>
        <w:t xml:space="preserve">re-interpretation of the US codes and statutes, which lay the foundation for determining reimbursement </w:t>
      </w:r>
      <w:r w:rsidR="006E792A" w:rsidRPr="002A4F91">
        <w:rPr>
          <w:rFonts w:ascii="Times New Roman" w:eastAsia="Times New Roman" w:hAnsi="Times New Roman"/>
          <w:sz w:val="24"/>
          <w:szCs w:val="24"/>
        </w:rPr>
        <w:t>for retroactive eligibility</w:t>
      </w:r>
      <w:r w:rsidR="00930A6A">
        <w:rPr>
          <w:rFonts w:ascii="Times New Roman" w:eastAsia="Times New Roman" w:hAnsi="Times New Roman"/>
          <w:sz w:val="24"/>
          <w:szCs w:val="24"/>
        </w:rPr>
        <w:t xml:space="preserve"> (Wevill, 2019)</w:t>
      </w:r>
      <w:r w:rsidR="006E792A">
        <w:rPr>
          <w:rFonts w:ascii="Times New Roman" w:eastAsia="Times New Roman" w:hAnsi="Times New Roman"/>
          <w:sz w:val="24"/>
          <w:szCs w:val="24"/>
        </w:rPr>
        <w:t>.</w:t>
      </w:r>
      <w:r w:rsidR="00CF256D">
        <w:rPr>
          <w:rFonts w:ascii="Times New Roman" w:eastAsia="Times New Roman" w:hAnsi="Times New Roman"/>
          <w:sz w:val="24"/>
          <w:szCs w:val="24"/>
        </w:rPr>
        <w:t xml:space="preserve"> Therefore, </w:t>
      </w:r>
      <w:r w:rsidR="003B3983">
        <w:rPr>
          <w:rFonts w:ascii="Times New Roman" w:eastAsia="Times New Roman" w:hAnsi="Times New Roman"/>
          <w:sz w:val="24"/>
          <w:szCs w:val="24"/>
        </w:rPr>
        <w:t xml:space="preserve">the defendant will </w:t>
      </w:r>
      <w:r w:rsidR="003B3983">
        <w:rPr>
          <w:rFonts w:ascii="Times New Roman" w:eastAsia="Times New Roman" w:hAnsi="Times New Roman"/>
          <w:sz w:val="24"/>
          <w:szCs w:val="24"/>
        </w:rPr>
        <w:lastRenderedPageBreak/>
        <w:t xml:space="preserve">be </w:t>
      </w:r>
      <w:r w:rsidR="00512602">
        <w:rPr>
          <w:rFonts w:ascii="Times New Roman" w:eastAsia="Times New Roman" w:hAnsi="Times New Roman"/>
          <w:sz w:val="24"/>
          <w:szCs w:val="24"/>
        </w:rPr>
        <w:t>prompted to adhere to the initial l</w:t>
      </w:r>
      <w:r w:rsidR="00512602" w:rsidRPr="00BE3267">
        <w:rPr>
          <w:rFonts w:ascii="Times New Roman" w:eastAsia="Times New Roman" w:hAnsi="Times New Roman"/>
          <w:sz w:val="24"/>
          <w:szCs w:val="24"/>
        </w:rPr>
        <w:t>andlord-tenant</w:t>
      </w:r>
      <w:r w:rsidR="00512602">
        <w:rPr>
          <w:rFonts w:ascii="Times New Roman" w:eastAsia="Times New Roman" w:hAnsi="Times New Roman"/>
          <w:sz w:val="24"/>
          <w:szCs w:val="24"/>
        </w:rPr>
        <w:t xml:space="preserve"> contractual agreement, which stipulates their responsibility and requirements to pay rent, including the outstanding arrears. </w:t>
      </w:r>
    </w:p>
    <w:p w14:paraId="22F978E2" w14:textId="77777777" w:rsidR="00A1307E" w:rsidRDefault="00A1307E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14:paraId="377CE8CA" w14:textId="753C3CE8" w:rsidR="00087B62" w:rsidRPr="007747A6" w:rsidRDefault="00F54979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14:paraId="1745C1FF" w14:textId="1A5D2474" w:rsidR="00E049A0" w:rsidRDefault="00F54979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049A0">
        <w:rPr>
          <w:rFonts w:ascii="Times New Roman" w:hAnsi="Times New Roman"/>
          <w:sz w:val="24"/>
          <w:szCs w:val="24"/>
          <w:shd w:val="clear" w:color="auto" w:fill="FFFFFF"/>
        </w:rPr>
        <w:t xml:space="preserve">Berry III, W. W. (2016). Normative Retroactivity. </w:t>
      </w:r>
      <w:r w:rsidRPr="00E049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U. Pa. J. Const. L.</w:t>
      </w:r>
      <w:r w:rsidRPr="00E049A0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E049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19</w:t>
      </w:r>
      <w:r w:rsidRPr="00E049A0">
        <w:rPr>
          <w:rFonts w:ascii="Times New Roman" w:hAnsi="Times New Roman"/>
          <w:sz w:val="24"/>
          <w:szCs w:val="24"/>
          <w:shd w:val="clear" w:color="auto" w:fill="FFFFFF"/>
        </w:rPr>
        <w:t>, 485.</w:t>
      </w:r>
    </w:p>
    <w:p w14:paraId="6C652321" w14:textId="3D7AB219" w:rsidR="00A36ED6" w:rsidRDefault="00F54979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87C15">
        <w:rPr>
          <w:rFonts w:ascii="Times New Roman" w:hAnsi="Times New Roman"/>
          <w:sz w:val="24"/>
          <w:szCs w:val="24"/>
          <w:shd w:val="clear" w:color="auto" w:fill="FFFFFF"/>
        </w:rPr>
        <w:t xml:space="preserve">Bradley-Banta, T. (2019). The Law and the Landlord-Tenant Relationship [Blog]. Retrieved from </w:t>
      </w:r>
      <w:hyperlink r:id="rId7" w:history="1">
        <w:r w:rsidRPr="0075394C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https://theresabradleybanta.com/law-landlord-tenant-relationship/</w:t>
        </w:r>
      </w:hyperlink>
      <w:r w:rsidRPr="00187C15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270F39DB" w14:textId="1755A9C2" w:rsidR="00930A6A" w:rsidRDefault="00F54979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30A6A">
        <w:rPr>
          <w:rFonts w:ascii="Times New Roman" w:hAnsi="Times New Roman"/>
          <w:sz w:val="24"/>
          <w:szCs w:val="24"/>
          <w:shd w:val="clear" w:color="auto" w:fill="FFFFFF"/>
        </w:rPr>
        <w:t>Goldstein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930A6A">
        <w:rPr>
          <w:rFonts w:ascii="Times New Roman" w:hAnsi="Times New Roman"/>
          <w:sz w:val="24"/>
          <w:szCs w:val="24"/>
          <w:shd w:val="clear" w:color="auto" w:fill="FFFFFF"/>
        </w:rPr>
        <w:t xml:space="preserve"> A.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S.</w:t>
      </w:r>
      <w:r w:rsidRPr="00930A6A">
        <w:rPr>
          <w:rFonts w:ascii="Times New Roman" w:hAnsi="Times New Roman"/>
          <w:sz w:val="24"/>
          <w:szCs w:val="24"/>
          <w:shd w:val="clear" w:color="auto" w:fill="FFFFFF"/>
        </w:rPr>
        <w:t xml:space="preserve">, Fowler, R., Presser, H., &amp; Hickman, E. (2009). </w:t>
      </w:r>
      <w:r w:rsidRPr="00930A6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Asset Protection... In Financially Unsafe Times</w:t>
      </w:r>
      <w:r w:rsidRPr="00930A6A">
        <w:rPr>
          <w:rFonts w:ascii="Times New Roman" w:hAnsi="Times New Roman"/>
          <w:sz w:val="24"/>
          <w:szCs w:val="24"/>
          <w:shd w:val="clear" w:color="auto" w:fill="FFFFFF"/>
        </w:rPr>
        <w:t xml:space="preserve"> (1st ed.). Garrett Press.</w:t>
      </w:r>
    </w:p>
    <w:p w14:paraId="790CE765" w14:textId="7AA3A43C" w:rsidR="00A646E8" w:rsidRDefault="00F54979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646E8">
        <w:rPr>
          <w:rFonts w:ascii="Times New Roman" w:hAnsi="Times New Roman"/>
          <w:sz w:val="24"/>
          <w:szCs w:val="24"/>
          <w:shd w:val="clear" w:color="auto" w:fill="FFFFFF"/>
        </w:rPr>
        <w:t xml:space="preserve">Jelsma, P. L., &amp; Nollkamper, P. E. (2018). </w:t>
      </w:r>
      <w:r w:rsidRPr="00A646E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 limited liability company</w:t>
      </w:r>
      <w:r w:rsidRPr="00A646E8">
        <w:rPr>
          <w:rFonts w:ascii="Times New Roman" w:hAnsi="Times New Roman"/>
          <w:sz w:val="24"/>
          <w:szCs w:val="24"/>
          <w:shd w:val="clear" w:color="auto" w:fill="FFFFFF"/>
        </w:rPr>
        <w:t>. LexisNexis.</w:t>
      </w:r>
    </w:p>
    <w:p w14:paraId="72E08B67" w14:textId="63E6EDDA" w:rsidR="00565BEB" w:rsidRDefault="00F54979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BEB">
        <w:rPr>
          <w:rFonts w:ascii="Times New Roman" w:hAnsi="Times New Roman"/>
          <w:sz w:val="24"/>
          <w:szCs w:val="24"/>
          <w:shd w:val="clear" w:color="auto" w:fill="FFFFFF"/>
        </w:rPr>
        <w:t xml:space="preserve">Melvin, S., &amp; Katz, M. A. (2010). </w:t>
      </w:r>
      <w:r w:rsidRPr="00565BE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Legal environment of business</w:t>
      </w:r>
      <w:r w:rsidRPr="00565BEB">
        <w:rPr>
          <w:rFonts w:ascii="Times New Roman" w:hAnsi="Times New Roman"/>
          <w:sz w:val="24"/>
          <w:szCs w:val="24"/>
          <w:shd w:val="clear" w:color="auto" w:fill="FFFFFF"/>
        </w:rPr>
        <w:t>. McGraw-Hill Publishing.</w:t>
      </w:r>
    </w:p>
    <w:p w14:paraId="2D3FC081" w14:textId="6E26F730" w:rsidR="00DB6D82" w:rsidRDefault="00F54979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B6D82">
        <w:rPr>
          <w:rFonts w:ascii="Times New Roman" w:hAnsi="Times New Roman"/>
          <w:sz w:val="24"/>
          <w:szCs w:val="24"/>
          <w:shd w:val="clear" w:color="auto" w:fill="FFFFFF"/>
        </w:rPr>
        <w:t xml:space="preserve">Wevill, J. (2019). </w:t>
      </w:r>
      <w:r w:rsidRPr="00DB6D8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Law in Practice: The RIBA Legal Handbook</w:t>
      </w:r>
      <w:r w:rsidRPr="00DB6D82">
        <w:rPr>
          <w:rFonts w:ascii="Times New Roman" w:hAnsi="Times New Roman"/>
          <w:sz w:val="24"/>
          <w:szCs w:val="24"/>
          <w:shd w:val="clear" w:color="auto" w:fill="FFFFFF"/>
        </w:rPr>
        <w:t>. Routledge.</w:t>
      </w:r>
    </w:p>
    <w:p w14:paraId="67E5D76F" w14:textId="77777777" w:rsidR="00930A6A" w:rsidRPr="00D20911" w:rsidRDefault="00930A6A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930A6A" w:rsidRPr="00D2091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E53175" w14:textId="77777777" w:rsidR="00902E6C" w:rsidRDefault="00902E6C">
      <w:pPr>
        <w:spacing w:after="0" w:line="240" w:lineRule="auto"/>
      </w:pPr>
      <w:r>
        <w:separator/>
      </w:r>
    </w:p>
  </w:endnote>
  <w:endnote w:type="continuationSeparator" w:id="0">
    <w:p w14:paraId="07E3B149" w14:textId="77777777" w:rsidR="00902E6C" w:rsidRDefault="00902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</w:font>
  <w:font w:name="Liberation Sans">
    <w:altName w:val="Arial"/>
    <w:charset w:val="01"/>
    <w:family w:val="swiss"/>
    <w:pitch w:val="variable"/>
  </w:font>
  <w:font w:name="WenQuanYi Micro Hei"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29426C" w14:textId="77777777" w:rsidR="00902E6C" w:rsidRDefault="00902E6C">
      <w:pPr>
        <w:spacing w:after="0" w:line="240" w:lineRule="auto"/>
      </w:pPr>
      <w:r>
        <w:separator/>
      </w:r>
    </w:p>
  </w:footnote>
  <w:footnote w:type="continuationSeparator" w:id="0">
    <w:p w14:paraId="208D3591" w14:textId="77777777" w:rsidR="00902E6C" w:rsidRDefault="00902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01965" w14:textId="3C14C8F6" w:rsidR="007B4DB9" w:rsidRPr="00A40055" w:rsidRDefault="00F54979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</w:rPr>
      <w:t xml:space="preserve">                           </w:t>
    </w:r>
    <w:r w:rsidR="00D36530">
      <w:rPr>
        <w:rFonts w:ascii="Times New Roman" w:hAnsi="Times New Roman"/>
        <w:sz w:val="24"/>
      </w:rPr>
      <w:t xml:space="preserve">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D262DF">
      <w:rPr>
        <w:rFonts w:ascii="Times New Roman" w:hAnsi="Times New Roman"/>
        <w:sz w:val="24"/>
      </w:rPr>
      <w:t xml:space="preserve">  </w:t>
    </w:r>
    <w:r w:rsidR="004447C1">
      <w:rPr>
        <w:rFonts w:ascii="Times New Roman" w:hAnsi="Times New Roman"/>
        <w:caps/>
        <w:sz w:val="24"/>
        <w:szCs w:val="24"/>
      </w:rPr>
      <w:t xml:space="preserve">                       </w:t>
    </w:r>
    <w:r w:rsidRPr="00A40055">
      <w:rPr>
        <w:rFonts w:ascii="Times New Roman" w:hAnsi="Times New Roman"/>
        <w:caps/>
        <w:sz w:val="24"/>
        <w:szCs w:val="24"/>
      </w:rPr>
      <w:t xml:space="preserve">                                                                 </w:t>
    </w:r>
    <w:r w:rsidRPr="00A40055">
      <w:rPr>
        <w:rFonts w:ascii="Times New Roman" w:hAnsi="Times New Roman"/>
        <w:sz w:val="24"/>
        <w:szCs w:val="24"/>
      </w:rPr>
      <w:fldChar w:fldCharType="begin"/>
    </w:r>
    <w:r w:rsidRPr="00A40055">
      <w:rPr>
        <w:rFonts w:ascii="Times New Roman" w:hAnsi="Times New Roman"/>
        <w:sz w:val="24"/>
        <w:szCs w:val="24"/>
      </w:rPr>
      <w:instrText xml:space="preserve"> PAGE </w:instrText>
    </w:r>
    <w:r w:rsidRPr="00A40055">
      <w:rPr>
        <w:rFonts w:ascii="Times New Roman" w:hAnsi="Times New Roman"/>
        <w:sz w:val="24"/>
        <w:szCs w:val="24"/>
      </w:rPr>
      <w:fldChar w:fldCharType="separate"/>
    </w:r>
    <w:r w:rsidR="000132E3">
      <w:rPr>
        <w:rFonts w:ascii="Times New Roman" w:hAnsi="Times New Roman"/>
        <w:noProof/>
        <w:sz w:val="24"/>
        <w:szCs w:val="24"/>
      </w:rPr>
      <w:t>4</w:t>
    </w:r>
    <w:r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76956" w14:textId="023915D9" w:rsidR="007B4DB9" w:rsidRDefault="00F54979" w:rsidP="00C7314B">
    <w:pPr>
      <w:spacing w:after="0" w:line="480" w:lineRule="auto"/>
    </w:pPr>
    <w:r>
      <w:rPr>
        <w:rFonts w:ascii="Times New Roman" w:hAnsi="Times New Roman"/>
        <w:sz w:val="24"/>
      </w:rPr>
      <w:t xml:space="preserve">                                                  </w:t>
    </w:r>
    <w:r w:rsidR="00D36530">
      <w:rPr>
        <w:rFonts w:ascii="Times New Roman" w:hAnsi="Times New Roman"/>
        <w:sz w:val="24"/>
      </w:rPr>
      <w:t xml:space="preserve">  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 w:rsidR="00D262DF">
      <w:rPr>
        <w:rFonts w:ascii="Times New Roman" w:hAnsi="Times New Roman"/>
        <w:caps/>
        <w:sz w:val="24"/>
        <w:szCs w:val="24"/>
      </w:rPr>
      <w:t xml:space="preserve">     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>
      <w:rPr>
        <w:rFonts w:ascii="Times New Roman" w:hAnsi="Times New Roman"/>
        <w:caps/>
        <w:sz w:val="24"/>
        <w:szCs w:val="24"/>
      </w:rPr>
      <w:t xml:space="preserve">                                          </w:t>
    </w: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574AC5"/>
    <w:multiLevelType w:val="hybridMultilevel"/>
    <w:tmpl w:val="4434E7EA"/>
    <w:lvl w:ilvl="0" w:tplc="6F185B68">
      <w:start w:val="1"/>
      <w:numFmt w:val="decimal"/>
      <w:lvlText w:val="%1."/>
      <w:lvlJc w:val="left"/>
      <w:pPr>
        <w:ind w:left="720" w:hanging="360"/>
      </w:pPr>
    </w:lvl>
    <w:lvl w:ilvl="1" w:tplc="F6863CCE" w:tentative="1">
      <w:start w:val="1"/>
      <w:numFmt w:val="lowerLetter"/>
      <w:lvlText w:val="%2."/>
      <w:lvlJc w:val="left"/>
      <w:pPr>
        <w:ind w:left="1440" w:hanging="360"/>
      </w:pPr>
    </w:lvl>
    <w:lvl w:ilvl="2" w:tplc="0DF0F324" w:tentative="1">
      <w:start w:val="1"/>
      <w:numFmt w:val="lowerRoman"/>
      <w:lvlText w:val="%3."/>
      <w:lvlJc w:val="right"/>
      <w:pPr>
        <w:ind w:left="2160" w:hanging="180"/>
      </w:pPr>
    </w:lvl>
    <w:lvl w:ilvl="3" w:tplc="35DA4FD0" w:tentative="1">
      <w:start w:val="1"/>
      <w:numFmt w:val="decimal"/>
      <w:lvlText w:val="%4."/>
      <w:lvlJc w:val="left"/>
      <w:pPr>
        <w:ind w:left="2880" w:hanging="360"/>
      </w:pPr>
    </w:lvl>
    <w:lvl w:ilvl="4" w:tplc="359AD5B2" w:tentative="1">
      <w:start w:val="1"/>
      <w:numFmt w:val="lowerLetter"/>
      <w:lvlText w:val="%5."/>
      <w:lvlJc w:val="left"/>
      <w:pPr>
        <w:ind w:left="3600" w:hanging="360"/>
      </w:pPr>
    </w:lvl>
    <w:lvl w:ilvl="5" w:tplc="B7C6D924" w:tentative="1">
      <w:start w:val="1"/>
      <w:numFmt w:val="lowerRoman"/>
      <w:lvlText w:val="%6."/>
      <w:lvlJc w:val="right"/>
      <w:pPr>
        <w:ind w:left="4320" w:hanging="180"/>
      </w:pPr>
    </w:lvl>
    <w:lvl w:ilvl="6" w:tplc="EE248D46" w:tentative="1">
      <w:start w:val="1"/>
      <w:numFmt w:val="decimal"/>
      <w:lvlText w:val="%7."/>
      <w:lvlJc w:val="left"/>
      <w:pPr>
        <w:ind w:left="5040" w:hanging="360"/>
      </w:pPr>
    </w:lvl>
    <w:lvl w:ilvl="7" w:tplc="4A74DD40" w:tentative="1">
      <w:start w:val="1"/>
      <w:numFmt w:val="lowerLetter"/>
      <w:lvlText w:val="%8."/>
      <w:lvlJc w:val="left"/>
      <w:pPr>
        <w:ind w:left="5760" w:hanging="360"/>
      </w:pPr>
    </w:lvl>
    <w:lvl w:ilvl="8" w:tplc="871CCC7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zMzAyNja2NDYwMjRU0lEKTi0uzszPAymwqAUA6Q1soiwAAAA="/>
  </w:docVars>
  <w:rsids>
    <w:rsidRoot w:val="00A40055"/>
    <w:rsid w:val="00000378"/>
    <w:rsid w:val="0000468D"/>
    <w:rsid w:val="000132E3"/>
    <w:rsid w:val="000135B3"/>
    <w:rsid w:val="00013DD9"/>
    <w:rsid w:val="000141AB"/>
    <w:rsid w:val="00020159"/>
    <w:rsid w:val="0002224D"/>
    <w:rsid w:val="00023098"/>
    <w:rsid w:val="00024271"/>
    <w:rsid w:val="000258C2"/>
    <w:rsid w:val="00026B04"/>
    <w:rsid w:val="000305CE"/>
    <w:rsid w:val="00032D1B"/>
    <w:rsid w:val="00042EC9"/>
    <w:rsid w:val="00044B2D"/>
    <w:rsid w:val="000465F4"/>
    <w:rsid w:val="00046E91"/>
    <w:rsid w:val="00050361"/>
    <w:rsid w:val="00054842"/>
    <w:rsid w:val="00060CF9"/>
    <w:rsid w:val="00063676"/>
    <w:rsid w:val="00064614"/>
    <w:rsid w:val="000751B3"/>
    <w:rsid w:val="00080FCD"/>
    <w:rsid w:val="00080FE9"/>
    <w:rsid w:val="00087B62"/>
    <w:rsid w:val="00091D46"/>
    <w:rsid w:val="000A4BB7"/>
    <w:rsid w:val="000A662E"/>
    <w:rsid w:val="000C2AF1"/>
    <w:rsid w:val="000C5BB3"/>
    <w:rsid w:val="000C70FC"/>
    <w:rsid w:val="000D69C8"/>
    <w:rsid w:val="000E3958"/>
    <w:rsid w:val="000F2717"/>
    <w:rsid w:val="000F3CDA"/>
    <w:rsid w:val="000F5A80"/>
    <w:rsid w:val="000F7151"/>
    <w:rsid w:val="00106108"/>
    <w:rsid w:val="00107E33"/>
    <w:rsid w:val="00107F64"/>
    <w:rsid w:val="00113B98"/>
    <w:rsid w:val="00113FFC"/>
    <w:rsid w:val="00115AB0"/>
    <w:rsid w:val="0011684B"/>
    <w:rsid w:val="00116EDC"/>
    <w:rsid w:val="001172EA"/>
    <w:rsid w:val="001211F5"/>
    <w:rsid w:val="0012455A"/>
    <w:rsid w:val="0013043C"/>
    <w:rsid w:val="00130868"/>
    <w:rsid w:val="001319E4"/>
    <w:rsid w:val="00131D9A"/>
    <w:rsid w:val="001437ED"/>
    <w:rsid w:val="00143BF6"/>
    <w:rsid w:val="0015018F"/>
    <w:rsid w:val="00150263"/>
    <w:rsid w:val="00150877"/>
    <w:rsid w:val="00154E03"/>
    <w:rsid w:val="00161E44"/>
    <w:rsid w:val="00165E6E"/>
    <w:rsid w:val="00172BE0"/>
    <w:rsid w:val="00182C22"/>
    <w:rsid w:val="00184CC2"/>
    <w:rsid w:val="00185586"/>
    <w:rsid w:val="00187C15"/>
    <w:rsid w:val="001905EE"/>
    <w:rsid w:val="001968D2"/>
    <w:rsid w:val="001A2AE3"/>
    <w:rsid w:val="001A2DAD"/>
    <w:rsid w:val="001A2F2E"/>
    <w:rsid w:val="001B13A4"/>
    <w:rsid w:val="001B1F69"/>
    <w:rsid w:val="001C1D66"/>
    <w:rsid w:val="001D149A"/>
    <w:rsid w:val="001E01ED"/>
    <w:rsid w:val="001E0D1A"/>
    <w:rsid w:val="001E124C"/>
    <w:rsid w:val="001E234F"/>
    <w:rsid w:val="001E321E"/>
    <w:rsid w:val="00202D35"/>
    <w:rsid w:val="0021328C"/>
    <w:rsid w:val="0021455C"/>
    <w:rsid w:val="00215CD9"/>
    <w:rsid w:val="00221AC2"/>
    <w:rsid w:val="00223D21"/>
    <w:rsid w:val="00230B98"/>
    <w:rsid w:val="00233E27"/>
    <w:rsid w:val="002349A6"/>
    <w:rsid w:val="0023535E"/>
    <w:rsid w:val="00235E65"/>
    <w:rsid w:val="0024796F"/>
    <w:rsid w:val="00255E1B"/>
    <w:rsid w:val="002636A5"/>
    <w:rsid w:val="002719E0"/>
    <w:rsid w:val="002825A6"/>
    <w:rsid w:val="00282D04"/>
    <w:rsid w:val="002A1BDF"/>
    <w:rsid w:val="002A46EB"/>
    <w:rsid w:val="002A4F91"/>
    <w:rsid w:val="002B4DBE"/>
    <w:rsid w:val="002B6006"/>
    <w:rsid w:val="002B6681"/>
    <w:rsid w:val="002D01DB"/>
    <w:rsid w:val="002D1272"/>
    <w:rsid w:val="002D367B"/>
    <w:rsid w:val="002D4C10"/>
    <w:rsid w:val="002D57C3"/>
    <w:rsid w:val="002E3D9E"/>
    <w:rsid w:val="002E607E"/>
    <w:rsid w:val="002F0164"/>
    <w:rsid w:val="002F3C69"/>
    <w:rsid w:val="00301EFB"/>
    <w:rsid w:val="0030281B"/>
    <w:rsid w:val="003073D4"/>
    <w:rsid w:val="00307FCE"/>
    <w:rsid w:val="003154AA"/>
    <w:rsid w:val="00327BE1"/>
    <w:rsid w:val="00337292"/>
    <w:rsid w:val="003402F2"/>
    <w:rsid w:val="00366D8A"/>
    <w:rsid w:val="00375DD4"/>
    <w:rsid w:val="0039384B"/>
    <w:rsid w:val="00395066"/>
    <w:rsid w:val="003A5EF9"/>
    <w:rsid w:val="003A6485"/>
    <w:rsid w:val="003B2DEF"/>
    <w:rsid w:val="003B3983"/>
    <w:rsid w:val="003B3C46"/>
    <w:rsid w:val="003C2B8D"/>
    <w:rsid w:val="003C46B8"/>
    <w:rsid w:val="003C7228"/>
    <w:rsid w:val="003D2FE6"/>
    <w:rsid w:val="003D4BDA"/>
    <w:rsid w:val="003D6FDA"/>
    <w:rsid w:val="003D7B60"/>
    <w:rsid w:val="003E7CB9"/>
    <w:rsid w:val="003F1823"/>
    <w:rsid w:val="003F3AF8"/>
    <w:rsid w:val="003F56A1"/>
    <w:rsid w:val="00404F10"/>
    <w:rsid w:val="0041491F"/>
    <w:rsid w:val="004157D7"/>
    <w:rsid w:val="00421B70"/>
    <w:rsid w:val="00424F8E"/>
    <w:rsid w:val="0042645C"/>
    <w:rsid w:val="00430352"/>
    <w:rsid w:val="0043207C"/>
    <w:rsid w:val="00436E31"/>
    <w:rsid w:val="004447C1"/>
    <w:rsid w:val="004478B0"/>
    <w:rsid w:val="00462BF0"/>
    <w:rsid w:val="00463D8D"/>
    <w:rsid w:val="004658B6"/>
    <w:rsid w:val="00470CCD"/>
    <w:rsid w:val="00475BC3"/>
    <w:rsid w:val="00475DDA"/>
    <w:rsid w:val="00482B9C"/>
    <w:rsid w:val="0048425B"/>
    <w:rsid w:val="00484AC9"/>
    <w:rsid w:val="0048665E"/>
    <w:rsid w:val="0048778F"/>
    <w:rsid w:val="00494EDD"/>
    <w:rsid w:val="004A088C"/>
    <w:rsid w:val="004A6CB0"/>
    <w:rsid w:val="004B159E"/>
    <w:rsid w:val="004B1FE7"/>
    <w:rsid w:val="004C294C"/>
    <w:rsid w:val="004C38A4"/>
    <w:rsid w:val="004C6A0C"/>
    <w:rsid w:val="004D11F3"/>
    <w:rsid w:val="004D25D6"/>
    <w:rsid w:val="004F010B"/>
    <w:rsid w:val="004F4A66"/>
    <w:rsid w:val="00510752"/>
    <w:rsid w:val="00512602"/>
    <w:rsid w:val="005211A9"/>
    <w:rsid w:val="0052294B"/>
    <w:rsid w:val="0052453D"/>
    <w:rsid w:val="00526B37"/>
    <w:rsid w:val="00533B8C"/>
    <w:rsid w:val="00534516"/>
    <w:rsid w:val="005421E9"/>
    <w:rsid w:val="00543F45"/>
    <w:rsid w:val="005522D5"/>
    <w:rsid w:val="00552517"/>
    <w:rsid w:val="00565BEB"/>
    <w:rsid w:val="00572799"/>
    <w:rsid w:val="005737A3"/>
    <w:rsid w:val="00576A42"/>
    <w:rsid w:val="005921C0"/>
    <w:rsid w:val="00593461"/>
    <w:rsid w:val="005A2F24"/>
    <w:rsid w:val="005A7CB2"/>
    <w:rsid w:val="005B3D3B"/>
    <w:rsid w:val="005C1227"/>
    <w:rsid w:val="005C3B05"/>
    <w:rsid w:val="005C47CE"/>
    <w:rsid w:val="005D38C6"/>
    <w:rsid w:val="005D661A"/>
    <w:rsid w:val="005F690D"/>
    <w:rsid w:val="005F7B83"/>
    <w:rsid w:val="006049CD"/>
    <w:rsid w:val="00624586"/>
    <w:rsid w:val="00624D78"/>
    <w:rsid w:val="0062594A"/>
    <w:rsid w:val="00625FEE"/>
    <w:rsid w:val="00626790"/>
    <w:rsid w:val="006329B8"/>
    <w:rsid w:val="00633E73"/>
    <w:rsid w:val="00635432"/>
    <w:rsid w:val="00651413"/>
    <w:rsid w:val="00663437"/>
    <w:rsid w:val="006717A9"/>
    <w:rsid w:val="00674D0D"/>
    <w:rsid w:val="00676488"/>
    <w:rsid w:val="00680C13"/>
    <w:rsid w:val="006825EE"/>
    <w:rsid w:val="00682A3A"/>
    <w:rsid w:val="0068313B"/>
    <w:rsid w:val="00692613"/>
    <w:rsid w:val="006A0524"/>
    <w:rsid w:val="006C10D7"/>
    <w:rsid w:val="006C18DB"/>
    <w:rsid w:val="006C23C0"/>
    <w:rsid w:val="006C4BF4"/>
    <w:rsid w:val="006C6A46"/>
    <w:rsid w:val="006D0A3A"/>
    <w:rsid w:val="006D0A42"/>
    <w:rsid w:val="006D1CE9"/>
    <w:rsid w:val="006D46CF"/>
    <w:rsid w:val="006E1BAB"/>
    <w:rsid w:val="006E2860"/>
    <w:rsid w:val="006E6248"/>
    <w:rsid w:val="006E7495"/>
    <w:rsid w:val="006E792A"/>
    <w:rsid w:val="006F5727"/>
    <w:rsid w:val="006F71AC"/>
    <w:rsid w:val="007034D4"/>
    <w:rsid w:val="00707B6C"/>
    <w:rsid w:val="007119C1"/>
    <w:rsid w:val="00711C69"/>
    <w:rsid w:val="007206B5"/>
    <w:rsid w:val="00727C71"/>
    <w:rsid w:val="0073309D"/>
    <w:rsid w:val="007330E7"/>
    <w:rsid w:val="00733B00"/>
    <w:rsid w:val="007363F1"/>
    <w:rsid w:val="00743738"/>
    <w:rsid w:val="00752C0F"/>
    <w:rsid w:val="0075394C"/>
    <w:rsid w:val="00762C72"/>
    <w:rsid w:val="00762D7A"/>
    <w:rsid w:val="0076308A"/>
    <w:rsid w:val="00767352"/>
    <w:rsid w:val="00771027"/>
    <w:rsid w:val="007719A2"/>
    <w:rsid w:val="007747A6"/>
    <w:rsid w:val="00775991"/>
    <w:rsid w:val="00787A5D"/>
    <w:rsid w:val="007902B1"/>
    <w:rsid w:val="007916F0"/>
    <w:rsid w:val="00792AA3"/>
    <w:rsid w:val="00794A53"/>
    <w:rsid w:val="007A2DA3"/>
    <w:rsid w:val="007A33AC"/>
    <w:rsid w:val="007B2C2F"/>
    <w:rsid w:val="007B3261"/>
    <w:rsid w:val="007B3937"/>
    <w:rsid w:val="007B4DB9"/>
    <w:rsid w:val="007B5318"/>
    <w:rsid w:val="007C2FAF"/>
    <w:rsid w:val="007C4221"/>
    <w:rsid w:val="007D2668"/>
    <w:rsid w:val="007D7C08"/>
    <w:rsid w:val="007E5D6F"/>
    <w:rsid w:val="007F4693"/>
    <w:rsid w:val="007F5EB7"/>
    <w:rsid w:val="00800CA8"/>
    <w:rsid w:val="00801C94"/>
    <w:rsid w:val="008029DF"/>
    <w:rsid w:val="00802E45"/>
    <w:rsid w:val="0080526C"/>
    <w:rsid w:val="00807470"/>
    <w:rsid w:val="008135F3"/>
    <w:rsid w:val="00813A02"/>
    <w:rsid w:val="00813EA5"/>
    <w:rsid w:val="00817FC7"/>
    <w:rsid w:val="0082019A"/>
    <w:rsid w:val="00825395"/>
    <w:rsid w:val="0083467E"/>
    <w:rsid w:val="00835327"/>
    <w:rsid w:val="00840E91"/>
    <w:rsid w:val="00841E67"/>
    <w:rsid w:val="00842F77"/>
    <w:rsid w:val="00854EC6"/>
    <w:rsid w:val="008564DD"/>
    <w:rsid w:val="0085790F"/>
    <w:rsid w:val="008652CF"/>
    <w:rsid w:val="0087739C"/>
    <w:rsid w:val="00882748"/>
    <w:rsid w:val="00884F68"/>
    <w:rsid w:val="0089210D"/>
    <w:rsid w:val="008958BF"/>
    <w:rsid w:val="008A3676"/>
    <w:rsid w:val="008A5715"/>
    <w:rsid w:val="008B3179"/>
    <w:rsid w:val="008B4DF4"/>
    <w:rsid w:val="008B4FAB"/>
    <w:rsid w:val="008C04BC"/>
    <w:rsid w:val="008C28A0"/>
    <w:rsid w:val="008C4557"/>
    <w:rsid w:val="008C52FE"/>
    <w:rsid w:val="008D1665"/>
    <w:rsid w:val="008D2B08"/>
    <w:rsid w:val="008E58BA"/>
    <w:rsid w:val="008E590C"/>
    <w:rsid w:val="008E7572"/>
    <w:rsid w:val="008F0ADA"/>
    <w:rsid w:val="008F6DBC"/>
    <w:rsid w:val="00902E6C"/>
    <w:rsid w:val="00914824"/>
    <w:rsid w:val="0091543D"/>
    <w:rsid w:val="00930A6A"/>
    <w:rsid w:val="00932206"/>
    <w:rsid w:val="0093408A"/>
    <w:rsid w:val="00937436"/>
    <w:rsid w:val="00940859"/>
    <w:rsid w:val="00943109"/>
    <w:rsid w:val="009441F1"/>
    <w:rsid w:val="009463FE"/>
    <w:rsid w:val="00951C5B"/>
    <w:rsid w:val="00953BDB"/>
    <w:rsid w:val="00961A71"/>
    <w:rsid w:val="009626E1"/>
    <w:rsid w:val="0096275F"/>
    <w:rsid w:val="00963C1E"/>
    <w:rsid w:val="0097513A"/>
    <w:rsid w:val="009829DF"/>
    <w:rsid w:val="009863AA"/>
    <w:rsid w:val="009A0B0A"/>
    <w:rsid w:val="009A1EB0"/>
    <w:rsid w:val="009A2FBC"/>
    <w:rsid w:val="009A38A0"/>
    <w:rsid w:val="009B0154"/>
    <w:rsid w:val="009B2A46"/>
    <w:rsid w:val="009B4C3F"/>
    <w:rsid w:val="009C5300"/>
    <w:rsid w:val="009C7D1B"/>
    <w:rsid w:val="009D0077"/>
    <w:rsid w:val="009F1153"/>
    <w:rsid w:val="009F2AC4"/>
    <w:rsid w:val="009F47F6"/>
    <w:rsid w:val="00A016F0"/>
    <w:rsid w:val="00A029E8"/>
    <w:rsid w:val="00A1307E"/>
    <w:rsid w:val="00A23D67"/>
    <w:rsid w:val="00A34426"/>
    <w:rsid w:val="00A36ED6"/>
    <w:rsid w:val="00A40055"/>
    <w:rsid w:val="00A4734B"/>
    <w:rsid w:val="00A53E1F"/>
    <w:rsid w:val="00A564D2"/>
    <w:rsid w:val="00A572AD"/>
    <w:rsid w:val="00A61272"/>
    <w:rsid w:val="00A646E8"/>
    <w:rsid w:val="00A6594B"/>
    <w:rsid w:val="00A7046E"/>
    <w:rsid w:val="00A72E77"/>
    <w:rsid w:val="00A81C48"/>
    <w:rsid w:val="00A82C60"/>
    <w:rsid w:val="00A83782"/>
    <w:rsid w:val="00A85630"/>
    <w:rsid w:val="00A93D71"/>
    <w:rsid w:val="00A943A6"/>
    <w:rsid w:val="00A96E99"/>
    <w:rsid w:val="00AA33E3"/>
    <w:rsid w:val="00AA4A8F"/>
    <w:rsid w:val="00AA5B65"/>
    <w:rsid w:val="00AC3B11"/>
    <w:rsid w:val="00AD13AB"/>
    <w:rsid w:val="00AD2152"/>
    <w:rsid w:val="00AD2C06"/>
    <w:rsid w:val="00AD3757"/>
    <w:rsid w:val="00AE0696"/>
    <w:rsid w:val="00AE2342"/>
    <w:rsid w:val="00AE291B"/>
    <w:rsid w:val="00AE33F2"/>
    <w:rsid w:val="00AF055B"/>
    <w:rsid w:val="00AF4F93"/>
    <w:rsid w:val="00AF7194"/>
    <w:rsid w:val="00B01407"/>
    <w:rsid w:val="00B0419B"/>
    <w:rsid w:val="00B11383"/>
    <w:rsid w:val="00B17BD2"/>
    <w:rsid w:val="00B278DB"/>
    <w:rsid w:val="00B341DF"/>
    <w:rsid w:val="00B34724"/>
    <w:rsid w:val="00B40DBF"/>
    <w:rsid w:val="00B529A3"/>
    <w:rsid w:val="00B549ED"/>
    <w:rsid w:val="00B71060"/>
    <w:rsid w:val="00B72B7E"/>
    <w:rsid w:val="00B81460"/>
    <w:rsid w:val="00B86D59"/>
    <w:rsid w:val="00B9422F"/>
    <w:rsid w:val="00BB2B94"/>
    <w:rsid w:val="00BB541B"/>
    <w:rsid w:val="00BB550B"/>
    <w:rsid w:val="00BC2165"/>
    <w:rsid w:val="00BC32AE"/>
    <w:rsid w:val="00BC6829"/>
    <w:rsid w:val="00BD0C3E"/>
    <w:rsid w:val="00BE3267"/>
    <w:rsid w:val="00BE4483"/>
    <w:rsid w:val="00C02C41"/>
    <w:rsid w:val="00C0340D"/>
    <w:rsid w:val="00C036E3"/>
    <w:rsid w:val="00C153BE"/>
    <w:rsid w:val="00C1563C"/>
    <w:rsid w:val="00C168EC"/>
    <w:rsid w:val="00C16ECA"/>
    <w:rsid w:val="00C20285"/>
    <w:rsid w:val="00C3224A"/>
    <w:rsid w:val="00C336C7"/>
    <w:rsid w:val="00C4106F"/>
    <w:rsid w:val="00C414E2"/>
    <w:rsid w:val="00C46565"/>
    <w:rsid w:val="00C52312"/>
    <w:rsid w:val="00C54AF1"/>
    <w:rsid w:val="00C56FFE"/>
    <w:rsid w:val="00C60A0C"/>
    <w:rsid w:val="00C61654"/>
    <w:rsid w:val="00C7314B"/>
    <w:rsid w:val="00C809FA"/>
    <w:rsid w:val="00C85D15"/>
    <w:rsid w:val="00C8604C"/>
    <w:rsid w:val="00C93C9A"/>
    <w:rsid w:val="00CA5D31"/>
    <w:rsid w:val="00CB47B9"/>
    <w:rsid w:val="00CC7446"/>
    <w:rsid w:val="00CC77E6"/>
    <w:rsid w:val="00CD024F"/>
    <w:rsid w:val="00CD4ED4"/>
    <w:rsid w:val="00CE0F0D"/>
    <w:rsid w:val="00CE7A19"/>
    <w:rsid w:val="00CF256D"/>
    <w:rsid w:val="00CF3949"/>
    <w:rsid w:val="00D13617"/>
    <w:rsid w:val="00D14EBF"/>
    <w:rsid w:val="00D17AF2"/>
    <w:rsid w:val="00D20911"/>
    <w:rsid w:val="00D262DF"/>
    <w:rsid w:val="00D26703"/>
    <w:rsid w:val="00D268B3"/>
    <w:rsid w:val="00D3035F"/>
    <w:rsid w:val="00D3164C"/>
    <w:rsid w:val="00D3570E"/>
    <w:rsid w:val="00D36530"/>
    <w:rsid w:val="00D43BAB"/>
    <w:rsid w:val="00D46D60"/>
    <w:rsid w:val="00D603E0"/>
    <w:rsid w:val="00D6302E"/>
    <w:rsid w:val="00D63983"/>
    <w:rsid w:val="00D639C8"/>
    <w:rsid w:val="00D74CC3"/>
    <w:rsid w:val="00D91956"/>
    <w:rsid w:val="00D9645F"/>
    <w:rsid w:val="00D965DE"/>
    <w:rsid w:val="00DA545A"/>
    <w:rsid w:val="00DB5298"/>
    <w:rsid w:val="00DB6D82"/>
    <w:rsid w:val="00DB6DE6"/>
    <w:rsid w:val="00DC30EB"/>
    <w:rsid w:val="00DC6775"/>
    <w:rsid w:val="00DC7156"/>
    <w:rsid w:val="00DD5D34"/>
    <w:rsid w:val="00DE4FD8"/>
    <w:rsid w:val="00DF42A8"/>
    <w:rsid w:val="00E049A0"/>
    <w:rsid w:val="00E06003"/>
    <w:rsid w:val="00E16032"/>
    <w:rsid w:val="00E234B8"/>
    <w:rsid w:val="00E25777"/>
    <w:rsid w:val="00E3041B"/>
    <w:rsid w:val="00E46CFD"/>
    <w:rsid w:val="00E62D4E"/>
    <w:rsid w:val="00E669BF"/>
    <w:rsid w:val="00E67502"/>
    <w:rsid w:val="00E67D4D"/>
    <w:rsid w:val="00E7136A"/>
    <w:rsid w:val="00E742AE"/>
    <w:rsid w:val="00E91262"/>
    <w:rsid w:val="00E936C4"/>
    <w:rsid w:val="00EA1036"/>
    <w:rsid w:val="00EA14EA"/>
    <w:rsid w:val="00EA2295"/>
    <w:rsid w:val="00EA4D0D"/>
    <w:rsid w:val="00EA7A20"/>
    <w:rsid w:val="00EB189C"/>
    <w:rsid w:val="00EB2D5A"/>
    <w:rsid w:val="00EB2FBC"/>
    <w:rsid w:val="00EB6546"/>
    <w:rsid w:val="00EC11CA"/>
    <w:rsid w:val="00EC1369"/>
    <w:rsid w:val="00EC1E7D"/>
    <w:rsid w:val="00EC247C"/>
    <w:rsid w:val="00EC28FC"/>
    <w:rsid w:val="00EC6AA4"/>
    <w:rsid w:val="00EE2423"/>
    <w:rsid w:val="00EE39BB"/>
    <w:rsid w:val="00EE5B8E"/>
    <w:rsid w:val="00EF0078"/>
    <w:rsid w:val="00EF3B20"/>
    <w:rsid w:val="00F00438"/>
    <w:rsid w:val="00F03804"/>
    <w:rsid w:val="00F10528"/>
    <w:rsid w:val="00F137B6"/>
    <w:rsid w:val="00F13864"/>
    <w:rsid w:val="00F15C53"/>
    <w:rsid w:val="00F16465"/>
    <w:rsid w:val="00F17A75"/>
    <w:rsid w:val="00F217F4"/>
    <w:rsid w:val="00F223FC"/>
    <w:rsid w:val="00F23777"/>
    <w:rsid w:val="00F2391A"/>
    <w:rsid w:val="00F338D6"/>
    <w:rsid w:val="00F36E43"/>
    <w:rsid w:val="00F4154B"/>
    <w:rsid w:val="00F42844"/>
    <w:rsid w:val="00F52648"/>
    <w:rsid w:val="00F546F6"/>
    <w:rsid w:val="00F54979"/>
    <w:rsid w:val="00F57F53"/>
    <w:rsid w:val="00F77DDA"/>
    <w:rsid w:val="00F80FE5"/>
    <w:rsid w:val="00F82BEE"/>
    <w:rsid w:val="00F87BF7"/>
    <w:rsid w:val="00F93A84"/>
    <w:rsid w:val="00FA4685"/>
    <w:rsid w:val="00FA5063"/>
    <w:rsid w:val="00FB4B1E"/>
    <w:rsid w:val="00FC1C09"/>
    <w:rsid w:val="00FD0EA7"/>
    <w:rsid w:val="00FD1F00"/>
    <w:rsid w:val="00FD2928"/>
    <w:rsid w:val="00FD4729"/>
    <w:rsid w:val="00FD4CE3"/>
    <w:rsid w:val="00FD5FFE"/>
    <w:rsid w:val="00FF12B2"/>
    <w:rsid w:val="00FF3D98"/>
    <w:rsid w:val="00F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886D7D1"/>
  <w15:chartTrackingRefBased/>
  <w15:docId w15:val="{0BE0B773-FBB7-4F91-9B6F-4A6CAA969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3">
    <w:name w:val="Основной шрифт абзаца3"/>
  </w:style>
  <w:style w:type="character" w:customStyle="1" w:styleId="5">
    <w:name w:val="Знак Знак5"/>
    <w:rPr>
      <w:sz w:val="22"/>
      <w:szCs w:val="22"/>
      <w:lang w:val="en-US"/>
    </w:rPr>
  </w:style>
  <w:style w:type="character" w:customStyle="1" w:styleId="4">
    <w:name w:val="Знак Знак4"/>
    <w:rPr>
      <w:sz w:val="22"/>
      <w:szCs w:val="22"/>
      <w:lang w:val="en-US"/>
    </w:rPr>
  </w:style>
  <w:style w:type="character" w:customStyle="1" w:styleId="30">
    <w:name w:val="Знак Знак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Pr>
      <w:sz w:val="16"/>
      <w:szCs w:val="16"/>
    </w:rPr>
  </w:style>
  <w:style w:type="character" w:customStyle="1" w:styleId="20">
    <w:name w:val="Знак Знак2"/>
    <w:rPr>
      <w:lang w:val="en-US"/>
    </w:rPr>
  </w:style>
  <w:style w:type="character" w:customStyle="1" w:styleId="1">
    <w:name w:val="Знак Знак1"/>
    <w:rPr>
      <w:b/>
      <w:bCs/>
      <w:lang w:val="en-US"/>
    </w:rPr>
  </w:style>
  <w:style w:type="character" w:customStyle="1" w:styleId="10">
    <w:name w:val="Основной шрифт абзаца1"/>
  </w:style>
  <w:style w:type="character" w:customStyle="1" w:styleId="21">
    <w:name w:val="Основной шрифт абзаца2"/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Pr>
      <w:vertAlign w:val="superscript"/>
    </w:rPr>
  </w:style>
  <w:style w:type="character" w:styleId="Hyperlink">
    <w:name w:val="Hyperlink"/>
    <w:rPr>
      <w:color w:val="0000FF"/>
      <w:u w:val="single"/>
      <w:lang w:val="en-US" w:bidi="en-US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">
    <w:name w:val="Знак Знак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</w:style>
  <w:style w:type="character" w:customStyle="1" w:styleId="selectable">
    <w:name w:val="selectable"/>
  </w:style>
  <w:style w:type="character" w:styleId="Strong">
    <w:name w:val="Strong"/>
    <w:qFormat/>
    <w:rPr>
      <w:b/>
      <w:bCs/>
    </w:rPr>
  </w:style>
  <w:style w:type="paragraph" w:customStyle="1" w:styleId="13">
    <w:name w:val="Заголовок1"/>
    <w:basedOn w:val="Normal"/>
    <w:next w:val="BodyText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Pr>
      <w:sz w:val="20"/>
      <w:szCs w:val="20"/>
    </w:rPr>
  </w:style>
  <w:style w:type="paragraph" w:styleId="CommentSubject">
    <w:name w:val="annotation subject"/>
    <w:basedOn w:val="22"/>
    <w:next w:val="22"/>
    <w:rPr>
      <w:b/>
      <w:bCs/>
    </w:rPr>
  </w:style>
  <w:style w:type="paragraph" w:customStyle="1" w:styleId="14">
    <w:name w:val="Название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Pr>
      <w:b/>
      <w:bCs/>
    </w:rPr>
  </w:style>
  <w:style w:type="paragraph" w:customStyle="1" w:styleId="1a">
    <w:name w:val="Текст выноски1"/>
    <w:basedOn w:val="Normal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resabradleybanta.com/law-landlord-tenant-relationshi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1032</Words>
  <Characters>5883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MAB</cp:lastModifiedBy>
  <cp:revision>6</cp:revision>
  <cp:lastPrinted>1899-12-31T22:00:00Z</cp:lastPrinted>
  <dcterms:created xsi:type="dcterms:W3CDTF">2020-12-10T21:25:00Z</dcterms:created>
  <dcterms:modified xsi:type="dcterms:W3CDTF">2020-12-11T15:07:00Z</dcterms:modified>
</cp:coreProperties>
</file>